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354"/>
        </w:tabs>
        <w:spacing w:after="0" w:line="240" w:lineRule="auto"/>
        <w:ind w:left="53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__________________</w:t>
      </w:r>
    </w:p>
    <w:p>
      <w:pPr>
        <w:tabs>
          <w:tab w:val="left" w:pos="5670"/>
          <w:tab w:val="left" w:pos="9354"/>
        </w:tabs>
        <w:spacing w:after="0" w:line="240" w:lineRule="auto"/>
        <w:ind w:left="53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приказу Председателя Правления</w:t>
      </w:r>
    </w:p>
    <w:p>
      <w:pPr>
        <w:tabs>
          <w:tab w:val="left" w:pos="5670"/>
          <w:tab w:val="left" w:pos="6096"/>
          <w:tab w:val="left" w:pos="9354"/>
        </w:tabs>
        <w:spacing w:after="0" w:line="240" w:lineRule="auto"/>
        <w:ind w:left="53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КБ «КОЛЬЦО УРАЛА»</w:t>
      </w:r>
      <w:bookmarkStart w:id="0" w:name="_Toc354928119"/>
      <w:bookmarkStart w:id="1" w:name="_Toc354928300"/>
    </w:p>
    <w:p>
      <w:pPr>
        <w:tabs>
          <w:tab w:val="left" w:pos="5670"/>
          <w:tab w:val="left" w:pos="6096"/>
          <w:tab w:val="left" w:pos="9354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«___» __________________ 2021 г.</w:t>
      </w:r>
      <w:bookmarkStart w:id="2" w:name="_Toc354928120"/>
      <w:bookmarkStart w:id="3" w:name="_Toc354928301"/>
      <w:bookmarkEnd w:id="0"/>
      <w:bookmarkEnd w:id="1"/>
    </w:p>
    <w:p>
      <w:pPr>
        <w:tabs>
          <w:tab w:val="left" w:pos="5670"/>
          <w:tab w:val="left" w:pos="6096"/>
          <w:tab w:val="left" w:pos="9354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______________________________</w:t>
      </w:r>
    </w:p>
    <w:p>
      <w:pPr>
        <w:tabs>
          <w:tab w:val="left" w:pos="5670"/>
          <w:tab w:val="left" w:pos="6096"/>
          <w:tab w:val="left" w:pos="9354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>
      <w:pPr>
        <w:pStyle w:val="2"/>
        <w:spacing w:after="0" w:line="240" w:lineRule="auto"/>
        <w:ind w:left="0" w:right="-544" w:firstLine="709"/>
        <w:rPr>
          <w:b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69"/>
      </w:tblGrid>
      <w:tr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 сотрудники</w:t>
            </w:r>
          </w:p>
        </w:tc>
      </w:tr>
    </w:tbl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системе дистанционного банковского обслуживания «Интернет-Банк «Смарт»)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43955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6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ПОРЯДОК ИЗМЕНЕНИЯ УСЛОВИЙ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7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9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1. Заявка на размещение депозита (</w:t>
            </w:r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WEB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-версия)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0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2. Заявка на размещение депозита (мобильная 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3. 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4. 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jc w:val="both"/>
            <w:rPr>
              <w:rFonts w:eastAsiaTheme="minorEastAsia"/>
              <w:noProof/>
              <w:lang w:eastAsia="ru-RU"/>
            </w:rPr>
          </w:pPr>
          <w:hyperlink w:anchor="_Toc5643956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Приложение № 5.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643955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4"/>
    </w:p>
    <w:p/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системе дистанционного банковского обслуживания «Интернет-Банк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6439552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5"/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даты исполнения документа с использованием средств Системы ДБО в соответствии с настоящими Правилами.</w:t>
      </w:r>
    </w:p>
    <w:p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eastAsiaTheme="majorEastAsia"/>
          <w:b/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При направлении Заявки на размещение депозита с использованием мобильной версии Системы ДБО Акцепт Заявки производится путем присвоения ей статуса «Исполнен». При направлении Заявки на размещение депозита с использованием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-версии Системы ДБО Акцепт осуществляется путем проставлении </w:t>
      </w:r>
      <w:r>
        <w:rPr>
          <w:bCs/>
          <w:color w:val="000000"/>
          <w:sz w:val="24"/>
          <w:szCs w:val="24"/>
        </w:rPr>
        <w:t xml:space="preserve">отметки об исполнении с указанием наименования, БИК и корреспондентского счета Банка и даты исполнения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номер депозитного договора и номер депозитного счета.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>
      <w:pPr>
        <w:pStyle w:val="a3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Правилами, Заявкой на размещение депозита, направленной Клиентом и акцептованной Банком, </w:t>
      </w:r>
      <w:r>
        <w:rPr>
          <w:rFonts w:ascii="Times New Roman" w:hAnsi="Times New Roman"/>
          <w:sz w:val="24"/>
          <w:szCs w:val="24"/>
        </w:rPr>
        <w:t>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 с указанием в ней даты возврата Заявки на изменение условий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средств Системы ДБО в соответствии с настоящими Правилами.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на размещение депозита Клиента.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направлении Заявки на размещение депозита с использованием мобильной версии Системы ДБО отказ Банка от размещения Вклада (Депозита) производится путем присвоения Заявке на размещение депозита статуса «Возвращен». При направлении Заявки на размещение депозита с использованием WEB-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версии Системы ДБО Акцепт осуществляется путем проставления на Заявке на размещение депозита отметки о возврате с указанием наименования, БИК и корреспондентского счета Банка и даты возврата Заявки на размещение депозита.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Приложений № 3 и № 4 к настоящим Правилам.</w:t>
      </w:r>
    </w:p>
    <w:p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существенные условия Сделки, которые заполняются/выбираются Клиентом в Системе ДБО, исходя из предлагаемых Банком вариантов размещения денежных средств, размещенных на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Часть существенных условий Сделки определяется в автоматическом режиме или на основании Условий размещения депозитов и в зависимости от введенных Клиентом параметров Сделки. В рамках настоящих Правил Заявка на размещение депозита оформляется Клиентом: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указанной в Приложении № 1 или Приложении № 2 к настоящим Правилам; в мобильной версии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 ДБО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форме Приложения № 2 к настоящим Правилам.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 Банке Вклад (Депозит).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Правилами, а также в соответствии с </w:t>
      </w:r>
      <w:r>
        <w:rPr>
          <w:rFonts w:ascii="Times New Roman" w:hAnsi="Times New Roman"/>
          <w:sz w:val="24"/>
          <w:szCs w:val="24"/>
        </w:rPr>
        <w:t>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>. Сделкой (договором) является совокупность условий, установленных настоящими Правилами, Заявкой на размещение депозита, направленной Клиентом и акцептованной Банком,</w:t>
      </w:r>
      <w:r>
        <w:rPr>
          <w:rFonts w:ascii="Times New Roman" w:hAnsi="Times New Roman"/>
          <w:sz w:val="24"/>
          <w:szCs w:val="24"/>
        </w:rPr>
        <w:t xml:space="preserve"> 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УРАЛА», содержащие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существенных условий отдельных видов депозитных договоров и размещенные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Приложении № 5 к настоящим Правилам.</w:t>
      </w:r>
    </w:p>
    <w:p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6439553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6"/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процентные ставки при досрочном востребовании Вклада (Депозита);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Условиям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по одному из следующих вариантов: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ДБО</w:t>
      </w:r>
      <w:r>
        <w:rPr>
          <w:rFonts w:ascii="Times New Roman" w:hAnsi="Times New Roman"/>
          <w:sz w:val="24"/>
          <w:szCs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по форме Приложения № 2 к настоящим Правилам и в мобильной 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Системы ДБО </w:t>
      </w:r>
      <w:r>
        <w:rPr>
          <w:rFonts w:ascii="Times New Roman" w:hAnsi="Times New Roman"/>
          <w:sz w:val="24"/>
          <w:szCs w:val="24"/>
        </w:rPr>
        <w:t xml:space="preserve">часть существенных условий Сделки заполняется/выбирается Клиентом, другая часть существенных условий Сделки </w:t>
      </w:r>
      <w:r>
        <w:rPr>
          <w:rFonts w:ascii="Times New Roman" w:hAnsi="Times New Roman"/>
          <w:sz w:val="24"/>
          <w:szCs w:val="24"/>
          <w:lang w:eastAsia="ru-RU"/>
        </w:rPr>
        <w:t>определяется в соответствии с параметрами, установленными Банком в</w:t>
      </w:r>
      <w:r>
        <w:rPr>
          <w:rFonts w:ascii="Times New Roman" w:hAnsi="Times New Roman"/>
          <w:sz w:val="24"/>
          <w:szCs w:val="24"/>
        </w:rPr>
        <w:t xml:space="preserve"> Условиях размещения депозитов, действующих на дату Акцепта Заявки на размещение депозита.</w:t>
      </w:r>
      <w:r>
        <w:rPr>
          <w:rFonts w:ascii="Times New Roman" w:hAnsi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электронной подписью и направлению ее в Банк в соответствии с Правилами ДБО, подтверждает, что ознакомлен и согласен как с настоящими Правилами и </w:t>
      </w:r>
      <w:r>
        <w:rPr>
          <w:rFonts w:ascii="Times New Roman" w:hAnsi="Times New Roman"/>
          <w:sz w:val="24"/>
          <w:szCs w:val="24"/>
        </w:rPr>
        <w:t xml:space="preserve">Условиями размещения депозитов, </w:t>
      </w:r>
      <w:r>
        <w:rPr>
          <w:rFonts w:ascii="Times New Roman" w:hAnsi="Times New Roman"/>
          <w:sz w:val="24"/>
          <w:szCs w:val="24"/>
          <w:lang w:eastAsia="ru-RU"/>
        </w:rPr>
        <w:t xml:space="preserve">так и с введенными им в Заявке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После указания/заполнения всех существенных условий Сделки по размещению Депозита Клиент не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 xml:space="preserve"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 в соответствии с Правилами ДБО. </w:t>
      </w:r>
    </w:p>
    <w:p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При согласии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депозита, осуществляет Акцепт Заявки на размещение депозита, и фиксирует в модуле «Депозиты» Системы ДБО все существенные условия Сделки. </w:t>
      </w:r>
    </w:p>
    <w:p>
      <w:pPr>
        <w:pStyle w:val="22"/>
        <w:shd w:val="clear" w:color="auto" w:fill="auto"/>
        <w:tabs>
          <w:tab w:val="left" w:pos="62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В случае отказа Банка от размещения Вклада (Депозита) Клиента, Банк осуществляет Возврат Заявки на размещение депозита с указанием причины возврата.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размещению Вклада (Депозита) считается заключенной с момента поступления от Клиента денежных средств на счет Вклада (Депозита).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Оформленная в системе ДБО Заявка на размещение депозита, подписанная корректной электронной подписью Клиента, и содержащая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единого документа на бумажном носителе и собственноручно подписанный уполномоченными лицами Сторон.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служить основанием для признания такой Сделки недействительной.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полученную информацию от разглашения.</w:t>
      </w:r>
    </w:p>
    <w:p>
      <w:pPr>
        <w:pStyle w:val="1"/>
        <w:numPr>
          <w:ilvl w:val="0"/>
          <w:numId w:val="2"/>
        </w:numPr>
        <w:spacing w:before="0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6439554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7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обязуется соблюдать настоящие Правила;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 на размещение депозита, суммы, указанной в Заявке на размещение депозита, до момента ее зачисления на депозитный счет в Банке;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 xml:space="preserve">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>
      <w:pPr>
        <w:pStyle w:val="a3"/>
        <w:tabs>
          <w:tab w:val="left" w:pos="27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>
      <w:pPr>
        <w:pStyle w:val="1"/>
        <w:numPr>
          <w:ilvl w:val="0"/>
          <w:numId w:val="2"/>
        </w:numPr>
        <w:spacing w:before="0" w:line="240" w:lineRule="auto"/>
        <w:ind w:left="788"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6439555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8"/>
    </w:p>
    <w:p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>
      <w:pPr>
        <w:pStyle w:val="af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Принять денежные средства Клиента в сумме и на срок, согласованные Банком и Клиентом, и указанные в Заявке на размещение депозита, содержащей Акцепт Заявки на размещение депозита.</w:t>
      </w:r>
    </w:p>
    <w:p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соответствии с условиями, согласованными Банком и Клиентом, и указанными в Заявке на размещение депозита, содержащей Акцепт Заявки на размещение депозита (при направлении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Правилам),</w:t>
      </w:r>
      <w:r>
        <w:rPr>
          <w:rFonts w:ascii="Times New Roman" w:hAnsi="Times New Roman"/>
          <w:sz w:val="24"/>
          <w:szCs w:val="24"/>
        </w:rPr>
        <w:t xml:space="preserve"> или в Заявке на размещение депозита и в Условиях размещения депозитов, действующих на дату Акцепта Заявки на размещение депозита (при направлении Заявки на размещение депозита в мобильной версии Системы ДБО и при направлении Заявки на размещение депозита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-версии Системы ДБО по форме Приложения 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 При начислении процентов число дней в году и в месяце принимается за календарное.</w:t>
      </w:r>
    </w:p>
    <w:p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В случае если дата окончания срока Вклада (Депозита) и выплаты процентов на сумму Вклада (Депозита) приходится на установленный федеральным законом или изданным в соответствии с ним нормативным актом, действующим на всей территории Российской Федерации, выходной (праздничный) день, Банк перечисляет Клиенту сумму Вклада (Депозита) и проценты на нее, начисленные в соответствии с п. 5.1.2 настоящих Правил, в первый рабочий день, следующий за этим выходным (праздничным) днем.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суммы денежных средств, указанной в Заявке на размещение депозита, на момент зачисления на счет Вклада (Депозита).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Банк вправе: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Использовать полученные от Клиента денежные средства на цели, не противоречащие своей уставной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В случае досрочного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 (при направлении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Правилам),</w:t>
      </w:r>
      <w:r>
        <w:rPr>
          <w:rFonts w:ascii="Times New Roman" w:hAnsi="Times New Roman"/>
          <w:sz w:val="24"/>
          <w:szCs w:val="24"/>
        </w:rPr>
        <w:t xml:space="preserve"> или в Заявке на размещение депозита и Условиях размещения депозитов, действующих на дату Акцепта Заявки на размещение депозита (при направлении Заявки на размещение депозита в мобильной версии Системы ДБО</w:t>
      </w:r>
      <w:r>
        <w:rPr>
          <w:rFonts w:ascii="Times New Roman" w:hAnsi="Times New Roman" w:cs="Times New Roman"/>
          <w:sz w:val="24"/>
          <w:szCs w:val="24"/>
        </w:rPr>
        <w:t xml:space="preserve"> и при направлении </w:t>
      </w:r>
      <w:r>
        <w:rPr>
          <w:rFonts w:ascii="Times New Roman" w:hAnsi="Times New Roman"/>
          <w:sz w:val="24"/>
          <w:szCs w:val="24"/>
        </w:rPr>
        <w:t xml:space="preserve">Заявки на размещение депозита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-версии Системы ДБО по форме Приложения 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 Отказать в заключении Сделки при несогласии с условиями, указанными в Заявке на размещение депозита.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643955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9"/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 (Депозита) Клиент: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изменение условий в связи с пролонгацией Вклада (Депозита) должна быть направлена Клиентом в Банк с 00:00 рабочего дня, предшествующего дню окончания депозитного договора, до 10:00 дня окончания депозита или следующего рабочего дня в случае, если день окончания депозита приходится на выходной (праздничный) день местного времени (по месту нахождения подразделения Банка, в котором размещен Депозит).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день </w:t>
      </w:r>
      <w:r>
        <w:rPr>
          <w:rFonts w:ascii="Times New Roman" w:hAnsi="Times New Roman"/>
          <w:sz w:val="24"/>
          <w:szCs w:val="24"/>
        </w:rPr>
        <w:t xml:space="preserve">окончания депозита или следующий рабочий день в случае, если день окончания депозита приходится на выходной (праздничный) день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(по месту нахождения подразделения Банка, в котором размещен Депозит)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-  по Заявкам на изменение условий в связи с пролонгацией Вклада (Депозита), в течение 3 (Трех) рабочих дней со дня поступления соответствующей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возврату Вклада (Депозита) и пролонгации Вклада (Депозита) 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установленный для Акцепта в настоящем пункте Правил.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сумма Вклада (Депозита). Депозитный счет, открытый при размещении Вклада (Депозита), закрывается.</w:t>
      </w:r>
    </w:p>
    <w:p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Сторон.</w:t>
      </w:r>
    </w:p>
    <w:p>
      <w:pPr>
        <w:spacing w:after="0" w:line="240" w:lineRule="auto"/>
        <w:ind w:firstLine="709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рабочего дня, следующего за днем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16:00 рабочего дня, предшествующего праздничному, если в случаях, предусмотренных законодательством, продолжительность рабочего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условий или Распоряжение).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</w:p>
    <w:p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6439557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10"/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7.1.1. размещение денежных средств во Вклад (Депозит) осуществляется ООО КБ «КОЛЬЦО УРАЛА» (ИНН 6608001425, ОГРН 1026600001955) на основании договора банковского вклада (депозита);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 проценты на нее на условиях и в порядке, предусмотренных настоящими Правилами.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 предпринимателю, заключаются в отсутствии предусмотренных Федеральным законом от 23.12.2003 № 177-ФЗ «О страховании вкладов в банках Российской Федерации» (далее – Федеральный закон № 177-ФЗ) гарантий по возмещению денежных средств в сумме более 1 400 000 рублей,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 исключением обстоятельств, установленных статьей 13.3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при которых у Клиента возникает право на получение страхового возмещения в размере 100% от подлежащей страхованию суммы в соответствии со статьями 13.4 - 13.8 Федерального закона № 177-ФЗ, но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10 000 000 рублей;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7.2.2. денежные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№ 177-ФЗ в пределах суммы 1 400 000 рублей, а в случаях, установленных статьей 13.3 </w:t>
      </w:r>
      <w:r>
        <w:rPr>
          <w:rFonts w:ascii="Times New Roman" w:hAnsi="Times New Roman" w:cs="Times New Roman"/>
          <w:sz w:val="24"/>
          <w:szCs w:val="24"/>
        </w:rPr>
        <w:t>Федерального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в размере 100% от подлежащей страхованию суммы в соответствии со статьями 13.4 - 13.8 Федерального закона № 177-ФЗ, но не более 10 000 000 рублей.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присоединяясь к настоящим Правилам подтверждает, что 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7.3.1. риски, связанные с оказанием услуги нотариусу/адвокату, заключаются в отсутствии предусмотренных Федеральным законом № 177-ФЗ гарантий по возмещению денежных средств, которые будут находиться на счетах (Вкладах) нотариуса/адвоката,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нотариуса/адвоката не застрахованы в соответствии с Федеральным законом № 177-ФЗ.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643955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11"/>
    </w:p>
    <w:p>
      <w:pPr>
        <w:pStyle w:val="a3"/>
        <w:spacing w:after="100" w:afterAutospacing="1" w:line="240" w:lineRule="auto"/>
        <w:ind w:left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в одностороннем порядке изменять настоящие Правила и предлагаемые Банком Условия размещения депозитов. Время вступления в силу принятых Банком изменений в настоящие Правила и/или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размещения депозитов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указывается в соответствующем сообщении, размещаемом на сайте Банка в сети Интернет </w:t>
      </w:r>
      <w:hyperlink r:id="rId11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kubank</w:t>
        </w:r>
        <w:proofErr w:type="spellEnd"/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Любые уведомления, письма Банка, за исключением отдельно указанных по тексту Правил, в отношении направления которых прописан специальный порядок, направляются Банком Клиенту одним из следующих способов: посредством сообщения по Системе ДБО (при ее подключении Клиенту) либо почтой на последний известный Банку адрес регистрации Клиента (а в случае его отсутствия – на последний известный Банку адрес места проживания Клиента –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практикой). Способ направления информации определяется Банком самостоятельно.</w:t>
      </w:r>
    </w:p>
    <w:p>
      <w:pPr>
        <w:rPr>
          <w:rFonts w:ascii="Times New Roman" w:eastAsiaTheme="majorEastAsia" w:hAnsi="Times New Roman" w:cs="Times New Roman"/>
          <w:sz w:val="24"/>
          <w:szCs w:val="24"/>
          <w:highlight w:val="yellow"/>
        </w:rPr>
      </w:pPr>
      <w:r>
        <w:rPr>
          <w:rFonts w:ascii="Times New Roman" w:eastAsiaTheme="majorEastAsia" w:hAnsi="Times New Roman" w:cs="Times New Roman"/>
          <w:sz w:val="24"/>
          <w:szCs w:val="24"/>
          <w:highlight w:val="yellow"/>
        </w:rPr>
        <w:br w:type="page"/>
      </w:r>
    </w:p>
    <w:p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oc56439559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1</w:t>
      </w:r>
      <w:bookmarkEnd w:id="12"/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WEB-</w:t>
      </w:r>
      <w:r>
        <w:rPr>
          <w:rFonts w:ascii="Times New Roman" w:hAnsi="Times New Roman" w:cs="Times New Roman"/>
          <w:b/>
        </w:rPr>
        <w:t>версия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1290"/>
      </w:tblGrid>
      <w:tr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 Клиента, открытого в ООО КБ «КОЛЬЦО УРАЛА» №: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37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730"/>
      </w:tblGrid>
      <w:tr>
        <w:trPr>
          <w:trHeight w:val="298"/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494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494" w:type="pct"/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2" w:right="119"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13" w:name="_Toc56439560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2</w:t>
      </w:r>
      <w:bookmarkEnd w:id="13"/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Мобильная версия</w:t>
      </w:r>
    </w:p>
    <w:p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 на размещение депозита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№____ от «_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_______20__г.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530"/>
      </w:tblGrid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Отправитель (наименование, ИНН):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rPr>
          <w:trHeight w:val="59"/>
        </w:trP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счета, открытого в ООО КБ «КОЛЬЦО УРАЛА» №: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в ООО КБ «КОЛЬЦО УРАЛА», открываемый в соответствии с настоящей Заявкой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Подписав настоящую Заявку,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 присоединение 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Правилам заключения, исполнения и расторжения депозитных договоров в ООО КБ "КОЛЬЦО УРАЛА" (для Клиентов, имеющих в ООО КБ "КОЛЬЦО УРАЛА" расчетный счет в российских рублях и иностранной валюте (доллары США, евро)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обслуживающихся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системе дистанционного банковского обслуживания "Интернет-Банк "Смарт") (далее - "Правила") в порядке, предусмотренном ст. 428 ГК РФ. Подтверждаю, что ознакомлен и полностью согласен с Правилами, обязуюсь их неукоснительно исполнять.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Условиям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(далее - "Условия размещения депозитов") в порядке, предусмотренном ст. 428 ГК РФ. Подтверждаю, что ознакомлен и полностью согласен с Условиями размещения депозитов.</w:t>
      </w:r>
    </w:p>
    <w:p>
      <w:pPr>
        <w:rPr>
          <w:b/>
        </w:rPr>
      </w:pPr>
      <w:r>
        <w:rPr>
          <w:b/>
        </w:rPr>
        <w:br w:type="page"/>
      </w:r>
    </w:p>
    <w:p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4" w:name="_Toc56439561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3</w:t>
      </w:r>
      <w:bookmarkEnd w:id="14"/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7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(ИНН)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5" w:name="_Toc56439562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4</w:t>
      </w:r>
      <w:bookmarkEnd w:id="15"/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2"/>
      </w:tblGrid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(ИНН)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3203"/>
      </w:tblGrid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 период пролонгации устанавливается в соответствии с процентной ставкой, действующей на дату пролонгации Вклада/Депозита и соответствующей сроку пролонгации Вклада/Депозита. Ознакомиться с актуальными ставками можно на сайте Банка </w:t>
            </w: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www.kubank.ru</w:t>
              </w:r>
            </w:hyperlink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418" w:header="709" w:footer="403" w:gutter="0"/>
          <w:pgNumType w:start="1"/>
          <w:cols w:space="708"/>
          <w:titlePg/>
          <w:docGrid w:linePitch="360"/>
        </w:sectPr>
      </w:pPr>
    </w:p>
    <w:p>
      <w:pPr>
        <w:pStyle w:val="1"/>
        <w:spacing w:before="0" w:line="240" w:lineRule="auto"/>
        <w:ind w:left="949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6" w:name="_Toc54016740"/>
      <w:bookmarkStart w:id="17" w:name="_Toc56439563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5</w:t>
      </w:r>
      <w:bookmarkEnd w:id="16"/>
      <w:bookmarkEnd w:id="17"/>
    </w:p>
    <w:p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743200" cy="1268095"/>
            <wp:effectExtent l="0" t="0" r="0" b="0"/>
            <wp:docPr id="5" name="Рисунок 5" descr="KUBANK_LOGO-NEW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KUBANK_LOGO-NEW-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с «__» ________20__г.</w:t>
      </w: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Депозит «Срочный»</w:t>
      </w: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520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826"/>
        <w:gridCol w:w="565"/>
        <w:gridCol w:w="567"/>
        <w:gridCol w:w="567"/>
        <w:gridCol w:w="567"/>
        <w:gridCol w:w="566"/>
        <w:gridCol w:w="709"/>
        <w:gridCol w:w="710"/>
        <w:gridCol w:w="709"/>
        <w:gridCol w:w="708"/>
        <w:gridCol w:w="708"/>
        <w:gridCol w:w="710"/>
        <w:gridCol w:w="709"/>
        <w:gridCol w:w="708"/>
        <w:gridCol w:w="707"/>
        <w:gridCol w:w="711"/>
      </w:tblGrid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сумма: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>
        <w:trPr>
          <w:trHeight w:val="377"/>
        </w:trP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826" w:type="dxa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>
            <w:pPr>
              <w:spacing w:after="0" w:line="240" w:lineRule="auto"/>
              <w:ind w:left="-3" w:right="-104" w:hanging="1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Овернайт</w:t>
            </w:r>
          </w:p>
        </w:tc>
        <w:tc>
          <w:tcPr>
            <w:tcW w:w="565" w:type="dxa"/>
          </w:tcPr>
          <w:p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-3" w:right="-104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18-21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-3" w:right="-104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22-30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ind w:left="-3" w:right="-104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31-60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91-120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121-150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151-180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181-210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211-240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241-270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271-300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301-330</w:t>
            </w:r>
          </w:p>
        </w:tc>
        <w:tc>
          <w:tcPr>
            <w:tcW w:w="70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331-365</w:t>
            </w:r>
          </w:p>
        </w:tc>
        <w:tc>
          <w:tcPr>
            <w:tcW w:w="71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366-548</w:t>
            </w:r>
          </w:p>
        </w:tc>
      </w:tr>
      <w:tr>
        <w:trPr>
          <w:trHeight w:val="23"/>
        </w:trP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ставка, RUR</w:t>
            </w:r>
          </w:p>
        </w:tc>
        <w:tc>
          <w:tcPr>
            <w:tcW w:w="82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  <w:bookmarkStart w:id="18" w:name="_GoBack"/>
            <w:bookmarkEnd w:id="18"/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rPr>
          <w:trHeight w:val="36"/>
        </w:trP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изъятие: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442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Досрочное расторжение:</w:t>
            </w:r>
          </w:p>
        </w:tc>
        <w:tc>
          <w:tcPr>
            <w:tcW w:w="10747" w:type="dxa"/>
            <w:gridSpan w:val="1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rPr>
          <w:rFonts w:eastAsia="Times New Roman" w:cs="Times New Roman"/>
        </w:rPr>
      </w:pPr>
    </w:p>
    <w:sectPr>
      <w:pgSz w:w="16838" w:h="11906" w:orient="landscape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jc w:val="center"/>
    </w:pPr>
  </w:p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№688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Кузьменко О. В.</_x041e__x0442__x0432__x0435__x0442__x0441__x0442__x0432__x0435__x043d__x043d__x044b__x0439_>
    <_x0414__x0430__x0442__x0430__x0020__x0443__x0442__x0432__x0435__x0440__x0436__x0434__x0435__x043d__x0438__x044f_ xmlns="4de8a444-4a64-422b-b198-98b43df34036">2021-09-29T19:00:00+00:00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2021-10-05T19:00:00+00:00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25998-667A-45C0-BCB8-4772B321D352}">
  <ds:schemaRefs>
    <ds:schemaRef ds:uri="http://schemas.microsoft.com/office/2006/metadata/properties"/>
    <ds:schemaRef ds:uri="http://schemas.microsoft.com/office/infopath/2007/PartnerControls"/>
    <ds:schemaRef ds:uri="4de8a444-4a64-422b-b198-98b43df34036"/>
  </ds:schemaRefs>
</ds:datastoreItem>
</file>

<file path=customXml/itemProps3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6EFE2-2DF0-4969-A1A0-F5BEF92B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36242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Кузьменко О.В.</cp:lastModifiedBy>
  <cp:revision>9</cp:revision>
  <cp:lastPrinted>2019-11-27T09:57:00Z</cp:lastPrinted>
  <dcterms:created xsi:type="dcterms:W3CDTF">2021-10-04T06:15:00Z</dcterms:created>
  <dcterms:modified xsi:type="dcterms:W3CDTF">2021-11-15T11:10:00Z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