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b/>
          <w:bCs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Правила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заключения, исполнения и расторжения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депозитных договоров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ООО КБ «КОЛЬЦО УРАЛА»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(для Клиентов, имеющих в ООО КБ «КОЛЬЦО УРАЛА» расчетный счет в российских рублях и иностранной валюте (доллары США, евро) и обслуживающихся по системе дистанционного банковского обслуживания «Интернет-Банк «Смарт»)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sz w:val="24"/>
          <w:szCs w:val="24"/>
        </w:rPr>
        <w:id w:val="147911399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>
          <w:pPr>
            <w:pStyle w:val="11"/>
            <w:rPr>
              <w:rFonts w:eastAsiaTheme="minorEastAsia"/>
              <w:noProof/>
              <w:lang w:eastAsia="ru-RU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hyperlink w:anchor="_Toc25242423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4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ОСНОВНЫЕ ПОНЯТИЯ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5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ПОРЯДОК ЗАКЛЮЧЕНИЯ ДЕПОЗИТНЫХ 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6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7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БАНКА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8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ПОРЯДОК ИЗМЕНЕНИЯ УСЛОВИЙ ДЕПОЗИТНЫХ 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29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ОСОБЕННОСТИ РАЗМЕЩЕНИЯ ВКЛАДА (ДЕПОЗИТА) ИНДИВИДУАЛЬНЫМИ ПРЕДПРИНИМАТЕЛЯМИ И НОТАРИУСАМИ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30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ПРОЧИЕ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31" w:history="1">
            <w:r>
              <w:rPr>
                <w:rStyle w:val="a8"/>
                <w:rFonts w:ascii="Times New Roman" w:hAnsi="Times New Roman" w:cs="Times New Roman"/>
                <w:noProof/>
              </w:rPr>
              <w:t xml:space="preserve">Приложение № 1. </w:t>
            </w:r>
            <w:r>
              <w:rPr>
                <w:rFonts w:ascii="Times New Roman" w:hAnsi="Times New Roman" w:cs="Times New Roman"/>
                <w:noProof/>
              </w:rPr>
              <w:t>Заявка на размещение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32" w:history="1">
            <w:r>
              <w:rPr>
                <w:rStyle w:val="a8"/>
                <w:rFonts w:ascii="Times New Roman" w:hAnsi="Times New Roman" w:cs="Times New Roman"/>
                <w:noProof/>
              </w:rPr>
              <w:t xml:space="preserve">Приложение № 2.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Заявление на досрочное расторжение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5242433" w:history="1">
            <w:r>
              <w:rPr>
                <w:rStyle w:val="a8"/>
                <w:rFonts w:ascii="Times New Roman" w:hAnsi="Times New Roman" w:cs="Times New Roman"/>
                <w:noProof/>
              </w:rPr>
              <w:t xml:space="preserve">Приложение № 3. 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Заявление на пролонгацию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_Toc25242433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1"/>
        <w:numPr>
          <w:ilvl w:val="0"/>
          <w:numId w:val="2"/>
        </w:numPr>
        <w:spacing w:after="12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25242423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  <w:bookmarkEnd w:id="0"/>
    </w:p>
    <w:p>
      <w:pPr>
        <w:pStyle w:val="a3"/>
        <w:numPr>
          <w:ilvl w:val="1"/>
          <w:numId w:val="2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являются приглашением ООО КБ «КОЛЬЦО УРАЛА», адресованным юридическим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 (адвокатам, учредившим адвокатский кабинет; нотариусам, занимающимся частной практикой), имеющим в ООО КБ «КОЛЬЦО УРАЛА» расчетный счет в российских рублях и иностранной валюте (доллары США, евро) и обслуживающимся по системе дистанционного банковского обслуживания «Интернет-Банк «Смарт», делать оферту о заключении с ООО КБ «КОЛЬЦО УРАЛА» депозитного договора;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a3"/>
        <w:numPr>
          <w:ilvl w:val="1"/>
          <w:numId w:val="2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устанавливают общие условия депозитного договора, заключаемого с использованием системы дистанционного банковского обслуживания  «Интернет-Банк «Смарт» между ООО КБ «КОЛЬЦО УРАЛА» (далее – Банк) и юридическими лицами,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практикой, в том числе порядок заключения и исполнения сделки по размещению в Банке Вкладов (Депозитов), а также права, обязанности и ответственность сторон при совершении такой сделки.</w:t>
      </w:r>
    </w:p>
    <w:p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"/>
        <w:numPr>
          <w:ilvl w:val="0"/>
          <w:numId w:val="2"/>
        </w:numPr>
        <w:spacing w:before="0" w:after="100" w:afterAutospacing="1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5242424"/>
      <w:r>
        <w:rPr>
          <w:rFonts w:ascii="Times New Roman" w:hAnsi="Times New Roman" w:cs="Times New Roman"/>
          <w:b/>
          <w:color w:val="auto"/>
          <w:sz w:val="24"/>
          <w:szCs w:val="24"/>
        </w:rPr>
        <w:t>ОСНОВНЫЕ ПОНЯТИЯ</w:t>
      </w:r>
      <w:bookmarkEnd w:id="1"/>
    </w:p>
    <w:p>
      <w:pPr>
        <w:pStyle w:val="a3"/>
        <w:spacing w:after="100" w:afterAutospacing="1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Банк –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Коммерческий Банк «КОЛЬЦО УРАЛА» Общество с ограниченной ответственностью (ООО КБ «КОЛЬЦО УРАЛА»).</w:t>
      </w:r>
    </w:p>
    <w:p>
      <w:pPr>
        <w:pStyle w:val="a3"/>
        <w:spacing w:after="100" w:afterAutospacing="1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Клиент - </w:t>
      </w:r>
      <w:r>
        <w:rPr>
          <w:rFonts w:ascii="Times New Roman" w:hAnsi="Times New Roman" w:cs="Times New Roman"/>
          <w:bCs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лицо, индивидуальный предприниматель, физическое лицо, занимающееся в установленном законодательством РФ порядке частной практикой (адвокат, учредивший адвокатский кабинет; нотариус, занимающийся частной практикой), иностранная структура без образования юридического лица, имеющее в Банке расчетный счет, открытый на основании «Правил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Правила ДБС), и желающее разместить в Банке Вклад (Депозит).</w:t>
      </w:r>
    </w:p>
    <w:p>
      <w:pPr>
        <w:pStyle w:val="a3"/>
        <w:spacing w:after="100" w:afterAutospacing="1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дистанционного банковского обслуживания (Система ДБО)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система «Интернет-Банк «Смарт», предназначенная для удаленного обслуживания Клиента, обеспечивающая в том числе подготовку, передачу, прием, обработку электронных документов Клиента, включая платежные документы Клиента в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виде, и предоставление информации о движении денежных средств по счетам Клиента. Порядок обслуживания Клиента по Системе ДБО определяется отдельным соглашением, заключаемым между Банком и Клиентом в соответствии с «Правилами заключения, исполнения и расторжения соглашения об использовании системы дистанционного банковского обслуживания в ООО КБ «КОЛЬЦО УРАЛА» (для расчетных счетов в российских рублях, в иностранной валюте (доллары США, евро, иены, юани), счетов платежных агентов, платежных субагентов, поставщиков)» (далее – Правила ДБО).</w:t>
      </w:r>
    </w:p>
    <w:p>
      <w:pPr>
        <w:pStyle w:val="a3"/>
        <w:shd w:val="clear" w:color="auto" w:fill="FFFFFF"/>
        <w:spacing w:after="100" w:afterAutospacing="1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 или Депозит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валюте Российской Федерации или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иностранной валюте, </w:t>
      </w:r>
      <w:r>
        <w:rPr>
          <w:rFonts w:ascii="Times New Roman" w:hAnsi="Times New Roman" w:cs="Times New Roman"/>
          <w:sz w:val="24"/>
          <w:szCs w:val="24"/>
        </w:rPr>
        <w:t xml:space="preserve">размещаемые Клиентом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Банке в соответствии с порядком и на условиях, установленных настоящими Правилами и Заявкой, направленной Клиентом и акцептованной Банком.</w:t>
      </w:r>
    </w:p>
    <w:p>
      <w:pPr>
        <w:pStyle w:val="a3"/>
        <w:shd w:val="clear" w:color="auto" w:fill="FFFFFF"/>
        <w:spacing w:after="100" w:afterAutospacing="1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Вкладчик</w:t>
      </w:r>
      <w:r>
        <w:rPr>
          <w:rFonts w:ascii="Times New Roman" w:hAnsi="Times New Roman" w:cs="Times New Roman"/>
          <w:sz w:val="24"/>
          <w:szCs w:val="24"/>
        </w:rPr>
        <w:t xml:space="preserve"> - Клиент, разместивший в Банке Вклад (Депозит) в порядке, установленном настоящими Правилами.</w:t>
      </w:r>
    </w:p>
    <w:p>
      <w:pPr>
        <w:pStyle w:val="a3"/>
        <w:shd w:val="clear" w:color="auto" w:fill="FFFFFF"/>
        <w:spacing w:after="100" w:afterAutospacing="1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Сделка – </w:t>
      </w:r>
      <w:r>
        <w:rPr>
          <w:rFonts w:ascii="Times New Roman" w:hAnsi="Times New Roman" w:cs="Times New Roman"/>
          <w:sz w:val="24"/>
          <w:szCs w:val="24"/>
        </w:rPr>
        <w:t>депозитный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договор, заключенный между Банком и Клиентом в соответствии с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, по которому Клиент размещает Вклад, а Банк обязуется возвратить Вклад и выплатить проценты по Вкладу на условиях, согласованных Банком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Клиентом в порядке, предусмотренном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. Сделкой (договором) является совокупность условий, установленных настоящими Правилами и Заявкой, направленной Клиентом и акцептованной Банком. </w:t>
      </w:r>
    </w:p>
    <w:p>
      <w:pPr>
        <w:pStyle w:val="a3"/>
        <w:spacing w:after="100" w:afterAutospacing="1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на размещение депозита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 в электронной форме, подписываемый Клиентом электронной подписью, содержащий совокупность существенных условий Сделки, которые заполняются/выбираются Клиентом в Системе ДБО, исходя из предлагаемых Банком вариантов размещения денежных средств, размещенных 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сайте Банка в сети Интернет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kubank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 существенных условий Сделки устанавливается в автоматическом режиме в зависимости от введенных Клиентом условий Сделки. В рамках настоящих Правил Заявка на размещение депозита считается офертой Клиента и оформляется Клиентом по форме Приложения № 1 к настоящим Правилам.</w:t>
      </w:r>
    </w:p>
    <w:p>
      <w:pPr>
        <w:pStyle w:val="a3"/>
        <w:spacing w:after="100" w:afterAutospacing="1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Заявка на изменение условий - </w:t>
      </w:r>
      <w:r>
        <w:rPr>
          <w:rFonts w:ascii="Times New Roman" w:eastAsiaTheme="majorEastAsia" w:hAnsi="Times New Roman" w:cs="Times New Roman"/>
          <w:sz w:val="24"/>
          <w:szCs w:val="24"/>
        </w:rPr>
        <w:t>заявление Клиента на изменение срока Вклада (Депозита) (пролонгацию Депозита или досрочное расторжение Депозита),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составленное в виде электронного документа в Системе ДБО или на бумажном носителе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форме Приложений № 2 и №3 к настоящим Правилам.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Акцепт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уведомление Банком Клиента о принятии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путем проставления отметки об исполнении с указанием наименования, БИК и корреспондентского счета Банка и даты исполнения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Также Банк указывает в акцептованной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номер депозитного договора и номер депозитного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уведомление Банком Клиента об отказе в акцепте Заявки Клиента путем проставления на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отметки о возврате с указанием наименования, БИК и корреспондентского счета Банка и даты возврата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Акцепт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 о принятии Банком Заявки на изменение условий Клиента путем проставления отметки об исполнении с указанием в ней наименования, БИК и корреспондентского счета Банка и даты исполнения Заявки на изменение условий, а также даты исполнения документа.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отказе в акцепте Заявки на изменение условий Клиента путем проставления на Заявке на изменение условий отметки о возврате, с указанием в ней наименования, БИК и корреспондентского счета Банка и даты возврата Заявки на изменение условий.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поручение Клиента Банку на совершение расходной операций по счету Вклада (Депозита), связанной с частичным досрочным изъятием Вклада (Депозита), оформленное в случаях, установленных настоящими Правилами, на бумажном носителе или </w:t>
      </w:r>
      <w:r>
        <w:rPr>
          <w:rFonts w:ascii="Times New Roman" w:hAnsi="Times New Roman" w:cs="Times New Roman"/>
          <w:sz w:val="24"/>
          <w:szCs w:val="24"/>
        </w:rPr>
        <w:t>Правилами ДБС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электронного документа. 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Банк и Клиент.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"/>
        <w:numPr>
          <w:ilvl w:val="0"/>
          <w:numId w:val="2"/>
        </w:numPr>
        <w:spacing w:before="0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5242425"/>
      <w:r>
        <w:rPr>
          <w:rFonts w:ascii="Times New Roman" w:hAnsi="Times New Roman" w:cs="Times New Roman"/>
          <w:b/>
          <w:color w:val="auto"/>
          <w:sz w:val="24"/>
          <w:szCs w:val="24"/>
        </w:rPr>
        <w:t>ПОРЯДОК ЗАКЛЮЧЕНИЯ ДЕПОЗИТНЫХ СДЕЛОК</w:t>
      </w:r>
      <w:bookmarkEnd w:id="2"/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3.1. Существенными условиями Сделки являются: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валюта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срок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процентная ставка за пользование Вкладом (Депозитом), в процентах годовых;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платежные реквизиты Клиента;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периодичность выплаты процентов;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капитализации процентов;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и условия пополнения Вклада (Депозита);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частичного/полного досрочного возврата Вклада (Депозита);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- процентные ставки при досрочном востребовании Вклада (Депозита);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пролонгации Вклада (Депозита)/части суммы Вклада(Депозита).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Сделки заключаются посредством Системы ДБО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отправки электронного документа: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и Акцепта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Клиент, подписывая каждую Заявку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 и направляя ее в Банк, присоединяется к настоящим Правилам.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Согласование Сторонами существенных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</w:t>
      </w:r>
      <w:r>
        <w:rPr>
          <w:rFonts w:ascii="Times New Roman" w:hAnsi="Times New Roman"/>
          <w:sz w:val="24"/>
          <w:szCs w:val="24"/>
        </w:rPr>
        <w:t xml:space="preserve"> осуществляется в следующем порядке:</w:t>
      </w:r>
    </w:p>
    <w:p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Клиентом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</w:t>
      </w:r>
      <w:r>
        <w:rPr>
          <w:rFonts w:ascii="Times New Roman" w:hAnsi="Times New Roman"/>
          <w:sz w:val="24"/>
          <w:szCs w:val="24"/>
        </w:rPr>
        <w:t xml:space="preserve"> часть существенных условий Сделки заполняется/выбирается Клиентом, исходя из предлагаемых Банком вариантов размещения денежных средств. Часть существенных условий Сделки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модуле «Депозиты» в Системе ДБО в</w:t>
      </w:r>
      <w:r>
        <w:rPr>
          <w:rFonts w:ascii="Times New Roman" w:hAnsi="Times New Roman"/>
          <w:sz w:val="24"/>
          <w:szCs w:val="24"/>
        </w:rPr>
        <w:t xml:space="preserve"> автоматическом режиме в зависимости от введенных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/выбранных</w:t>
      </w:r>
      <w:r>
        <w:rPr>
          <w:rFonts w:ascii="Times New Roman" w:hAnsi="Times New Roman"/>
          <w:sz w:val="24"/>
          <w:szCs w:val="24"/>
        </w:rPr>
        <w:t xml:space="preserve"> Клиентом условий Сделки.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Клиент, совершая действия по подписанию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и направлению ее в Банк, подтверждает, что ознакомлен и согласен как с настоящими Правилами, так и с введенными им и автоматически заполненными в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размещения Вклада (Депозита), дает распоряжение Банку на перечисление денежных средств в сумме Вклада (Депозита) с расчетного счета Клиента, указанного в Заявке, на счет Вклада (Депозита), открываемый Банком в случае акцепта Заявки).</w:t>
      </w:r>
    </w:p>
    <w:p>
      <w:pPr>
        <w:pStyle w:val="22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После указания/заполнения всех существенных условий Сделки по размещению Депозита Клиент не </w:t>
      </w:r>
      <w:r>
        <w:rPr>
          <w:spacing w:val="5"/>
          <w:sz w:val="24"/>
          <w:szCs w:val="24"/>
        </w:rPr>
        <w:t xml:space="preserve">позднее 17:30 </w:t>
      </w:r>
      <w:r>
        <w:rPr>
          <w:rFonts w:ascii="TimesNewRomanPSMT" w:hAnsi="TimesNewRomanPSMT" w:cs="TimesNewRomanPSMT"/>
          <w:sz w:val="24"/>
          <w:szCs w:val="24"/>
        </w:rPr>
        <w:t xml:space="preserve">(не позднее 16:30, если в случаях, предусмотренных законодательством, продолжительность рабочего дня, предшествующего праздничному дню, уменьшается на один час) </w:t>
      </w:r>
      <w:r>
        <w:rPr>
          <w:spacing w:val="5"/>
          <w:sz w:val="24"/>
          <w:szCs w:val="24"/>
        </w:rPr>
        <w:t xml:space="preserve">местного </w:t>
      </w:r>
      <w:r>
        <w:rPr>
          <w:sz w:val="24"/>
          <w:szCs w:val="24"/>
        </w:rPr>
        <w:t>времени (по месту нахождения подразделения Банка, в котором открыт расчетный счет Клиента и планируется размещение Депозита) направляет Заявку на размещение депозита в Банк</w:t>
      </w:r>
      <w:r>
        <w:rPr>
          <w:rFonts w:eastAsiaTheme="maj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ее подписания электронной подписью Клиента. </w:t>
      </w:r>
    </w:p>
    <w:p>
      <w:pPr>
        <w:pStyle w:val="22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При согласии Банка на открытие Клиентом Вклада (Депозита) на условиях, указанных в Заявке на размещение депозита, и при отсутствии оснований для отказа в размещении Вклада (Депозита) Банк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поступления Заявки на размещение депозита, осуществляет Акцепт Заявки на размещение депозита и фиксирует в модуле «Депозиты» Системы ДБО все существенные условия Сделки.</w:t>
      </w:r>
    </w:p>
    <w:p>
      <w:pPr>
        <w:pStyle w:val="22"/>
        <w:shd w:val="clear" w:color="auto" w:fill="auto"/>
        <w:tabs>
          <w:tab w:val="left" w:pos="623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3.4.4. В случае отказа Банка от размещения Вклада (Депозита) Клиента, Банк осуществляет Возврат Заявки на размещение депозита.</w:t>
      </w:r>
    </w:p>
    <w:p>
      <w:pPr>
        <w:pStyle w:val="22"/>
        <w:shd w:val="clear" w:color="auto" w:fill="auto"/>
        <w:tabs>
          <w:tab w:val="left" w:pos="1276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Банк при согласии на открытие Клиенту Вклада (Депозита) на условиях, указанных в Заявке на размещение депозита, и при отсутствии оснований для отказа в открытии счета Вклада (Депозита),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получения Заявки на размещение депозита, открывает Клиенту счет Вклада (Депозита) и на основании содержащегося в Заявке на размещение депозита распоряжения Клиента, осуществляет перевод денежных средств с расчетного счета Клиента на счет Вклада (Депозита). 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3.6. Сделка по размещению Вклада (Депозита) считается заключенной с момента поступления от Клиента денежных средств на счет Вклада (Депозита).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не имеют права отказываться от исполнения заключенных Сделок по размещению денежных средств на Вклад (Депозит) в одностороннем порядке, если иное специально не оговорено Банком и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 заключении Сделки или настоящими Правилами.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Оформленная в системе ДБО Заявка на размещение депозита, подписанная корректной электронной подписью Клиента и содержащая Акцепт Заявки Банком, признается Сторонами официальным документом, удостоверяющим факт заключения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Сделки </w:t>
      </w:r>
      <w:r>
        <w:rPr>
          <w:rFonts w:ascii="Times New Roman" w:hAnsi="Times New Roman" w:cs="Times New Roman"/>
          <w:sz w:val="24"/>
          <w:szCs w:val="24"/>
        </w:rPr>
        <w:t xml:space="preserve">по размещению денежных средств на Вклад (Депозит) в письменном виде, и имеет такую же юридическую силу, что и договор, заключенный его участниками в виде единого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 на бумажном носителе и собственноручно подписанный уполномоченными лицами Сторон.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принимают на себя всю ответственность за полномочия сотрудников, заключающих Сделки по размещению Вклада (Депозита). Факт заключения Сделки лицом, не уполномоченным заключать Сделки от имени соответствующей Стороны, но имеющим фактический доступ к Системе ДБО, которая использовалась соответствующей Стороной для заключения Сделок по размещению денежных средств на Вклад (Депозит), не может служить основанием для признания такой Сделки недействительной.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обязуются сохранять конфиденциальность информации относительно Сделок, заключенных в соответствии с настоящими Правилами, предпринимать все возможные меры, чтобы предохранить полученную информацию от разглашения.</w:t>
      </w:r>
    </w:p>
    <w:p>
      <w:pPr>
        <w:pStyle w:val="1"/>
        <w:numPr>
          <w:ilvl w:val="0"/>
          <w:numId w:val="2"/>
        </w:numPr>
        <w:spacing w:before="0" w:after="100" w:afterAutospacing="1" w:line="240" w:lineRule="auto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25242426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КЛИЕНТА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3"/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Клиент:</w:t>
      </w:r>
    </w:p>
    <w:p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соблюдать настоящие Правила;</w:t>
      </w:r>
    </w:p>
    <w:p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обеспечить наличие на расчетном счете, указанном в Заявке, суммы, указанной в Заявке на размещение депозита, до момента ее зачисления на депозитный счет в Банке;</w:t>
      </w:r>
    </w:p>
    <w:p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обязуется отвечать на запросы Банка в течение 3 (Трех) рабочих дней с момента получения запроса, при этом ответ на запрос должен быть подписан уполномоченным лицом и представлен непосредственно в Банк. В тот же срок предоставлять в Банк надлежащим образом заверенные копии документов, указанные в запросе Банка, на бумажном носителе. Ответ на запрос и прилагаемые к нему документы могут быть представлены Клиентом в указанный срок посредством Системы ДБО;</w:t>
      </w:r>
    </w:p>
    <w:p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не имеет права </w:t>
      </w:r>
      <w:r>
        <w:rPr>
          <w:rFonts w:ascii="Times New Roman" w:hAnsi="Times New Roman" w:cs="Times New Roman"/>
          <w:sz w:val="24"/>
          <w:szCs w:val="24"/>
        </w:rPr>
        <w:t>требовать перечисления находящихся</w:t>
      </w:r>
      <w:r>
        <w:rPr>
          <w:rFonts w:ascii="Times New Roman" w:hAnsi="Times New Roman"/>
          <w:sz w:val="24"/>
        </w:rPr>
        <w:t xml:space="preserve"> на Вкладе (Депозите) денежных средств другим лицам.</w:t>
      </w:r>
    </w:p>
    <w:p>
      <w:pPr>
        <w:pStyle w:val="1"/>
        <w:numPr>
          <w:ilvl w:val="0"/>
          <w:numId w:val="2"/>
        </w:numPr>
        <w:spacing w:after="100" w:afterAutospacing="1" w:line="240" w:lineRule="auto"/>
        <w:ind w:firstLine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25242427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БАНКА</w:t>
      </w:r>
      <w:bookmarkEnd w:id="4"/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Банк обязуется:</w:t>
      </w:r>
    </w:p>
    <w:p>
      <w:pPr>
        <w:pStyle w:val="af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Принять денежные средства Клиента в сумме и на срок, согласованные Банком и Клиентом, и указанные в Заявке на размещение депозита, содержащей Акцепт Заявки на размещение депозита.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Начислить проценты на сумму Вклада (Депозита) со дня, следующего за днем поступления средств Клиента на его счет Вклада (Депозита), по день их фактического списания со счета Вклада (Депозита) включительно в соответствии с условиями, согласованными Банком и Клиентом, и указанными в Заявке на размещение депозита, содержащей Акцепт Заявки на размещение депозита. При начислении процентов число дней в году и в месяце принимается за календарное.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Выплатить проценты на сумму Вклада (Депозита) в порядке и на условиях, согласованных Банком и Клиентом по Сделке. </w:t>
      </w:r>
    </w:p>
    <w:p>
      <w:pPr>
        <w:pStyle w:val="af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По окончании срока Вклада (Депозита) перечислить сумму Вклада (Депозита) по реквизитам, согласованным Банком и Клиентом по Сделке.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этом депозитный счет по каждой исполненной Сделке закрывается.</w:t>
      </w:r>
    </w:p>
    <w:p>
      <w:pPr>
        <w:spacing w:after="0" w:line="240" w:lineRule="auto"/>
        <w:ind w:firstLine="508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В случае если дата окончания срока Вклада (Депозита) и выплаты процентов на сумму Вклада (Депозита) приходится на выходной (праздничный) день, Банк перечисляет Клиенту сумму Вклада (Депозита) и проценты на нее, начисленные в соответствии с п. 5.1.2 настоящих Правил, в первый рабочий день, следующий за этим выходным (праздничным) днем.</w:t>
      </w:r>
      <w:bookmarkStart w:id="5" w:name="_GoBack"/>
      <w:bookmarkEnd w:id="5"/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5.1.5. </w:t>
      </w:r>
      <w:r>
        <w:rPr>
          <w:rFonts w:ascii="Times New Roman" w:hAnsi="Times New Roman"/>
          <w:sz w:val="24"/>
        </w:rPr>
        <w:t xml:space="preserve">Отказать в заключении Сделки в случае наличия </w:t>
      </w:r>
      <w:r>
        <w:rPr>
          <w:rFonts w:ascii="Times New Roman" w:hAnsi="Times New Roman" w:cs="Times New Roman"/>
          <w:sz w:val="24"/>
          <w:szCs w:val="24"/>
        </w:rPr>
        <w:t xml:space="preserve">решений налоговых и/или таможенных органов о приостановлении </w:t>
      </w:r>
      <w:r>
        <w:rPr>
          <w:rFonts w:ascii="Times New Roman" w:hAnsi="Times New Roman"/>
          <w:sz w:val="24"/>
        </w:rPr>
        <w:t xml:space="preserve">операций по счетам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/>
          <w:sz w:val="24"/>
        </w:rPr>
        <w:t>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5.1.6. Отказать в заключении Сделки при отсутствии на счете Клиента достаточных денежных средств на момент зачисления на счет Вклада (Депозита).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5.1.7. 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или приостановления совершения операций Клиента по счетам, открытым в Банке, на основании Правил ДБО и Правил ДБС.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5.1.8. </w:t>
      </w:r>
      <w:r>
        <w:rPr>
          <w:rFonts w:ascii="Times New Roman" w:hAnsi="Times New Roman"/>
          <w:sz w:val="24"/>
        </w:rPr>
        <w:t xml:space="preserve">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иных случаях, предусмотренных законодательством Российской Федерации.</w:t>
      </w:r>
    </w:p>
    <w:p>
      <w:pPr>
        <w:pStyle w:val="a3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Банк вправе: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Использовать полученные от Клиента денежные средства на цели, не противоречащие своей уставной деятельности.</w:t>
      </w:r>
    </w:p>
    <w:p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>
        <w:rPr>
          <w:rFonts w:ascii="Times New Roman" w:hAnsi="Times New Roman"/>
          <w:sz w:val="24"/>
        </w:rPr>
        <w:t>В одностороннем порядке увеличить временной интервал для подтверждения Клиенту существенных условий Сделки.</w:t>
      </w:r>
    </w:p>
    <w:p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>
        <w:rPr>
          <w:rFonts w:ascii="Times New Roman" w:hAnsi="Times New Roman"/>
          <w:sz w:val="24"/>
        </w:rPr>
        <w:t>Отказать в заключении Сделки при нарушении Клиентом п. 4.1, 4.3 настоящих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 случае если условиями Сделки допускается частичное досрочное изъятие Вклада (Депозита), перечислить сумму, указанную в Распоряжении, не позднее дня, следующего за днем поступления Распоряжения в Банк, по реквизитам, указанным в Заявке на размещение депозита.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В случае досрочного расторжения Сделки, если оно допускается по согласованным Сторонами условиям, произвести перерасчет процентов по Вкладу (Депозиту) за фактический срок нахождения денежных средств на счете Вклада (Депозита) по ставке, указанной в Заявке на размещение депозита, содержащей Акцепт Заявки на размещение депозита.</w:t>
      </w:r>
    </w:p>
    <w:p>
      <w:pPr>
        <w:pStyle w:val="1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25242428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ПОРЯДОК ИЗМЕНЕНИЯ УСЛОВИЙ ДЕПОЗИТНЫХ СДЕЛОК</w:t>
      </w:r>
      <w:bookmarkEnd w:id="6"/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6.1. Условиями депозитных сделок, которые возможно изменить по соглашению Сторон в течение срока действия Сделки, если иное не согласовано Сторонами по Сделке при ее заключении, являются:</w:t>
      </w:r>
    </w:p>
    <w:p>
      <w:pPr>
        <w:pStyle w:val="a3"/>
        <w:spacing w:after="0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 (уменьшение суммы в результате частичного досрочного возврата Вклада (Депозита));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срок Вклада (Депозита) (пролонгация Вклада (Депозита) или </w:t>
      </w:r>
      <w:r>
        <w:rPr>
          <w:rFonts w:ascii="Times New Roman" w:hAnsi="Times New Roman"/>
          <w:sz w:val="24"/>
          <w:szCs w:val="24"/>
        </w:rPr>
        <w:t>уменьшение срока Вклада (Депозита) в результате полного досрочного возврата Вклада (Депозита)</w:t>
      </w:r>
      <w:r>
        <w:rPr>
          <w:rFonts w:ascii="Times New Roman" w:eastAsiaTheme="majorEastAsia" w:hAnsi="Times New Roman" w:cs="Times New Roman"/>
          <w:sz w:val="24"/>
          <w:szCs w:val="24"/>
        </w:rPr>
        <w:t>).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6.2. При необходимости изменения срока Вклада (Депозита) Клиент: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создает в Системе ДБО Заявку на изменение условий в модуле «Почта и документы»: Депозиты.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не позднее 17:30 </w:t>
      </w:r>
      <w:r>
        <w:rPr>
          <w:rFonts w:ascii="TimesNewRomanPSMT" w:eastAsia="Times New Roman" w:hAnsi="TimesNewRomanPSMT" w:cs="TimesNewRomanPSMT"/>
          <w:sz w:val="24"/>
          <w:szCs w:val="24"/>
        </w:rPr>
        <w:t>(не позднее 16:30, если в случаях, предусмотренных законодательством, продолжительность рабочего дня, предшествующего праздничному дню, уменьшается на один час)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местного времени (по месту нахождения подразделения Банка, в котором размещен Депозит) направляет Заявку на изменение условий в Банк путем ее подписания электронной подписью. Заявка на изменение условий в связи с пролонгацией Вклада (Депозита) должна быть направлена Клиентом в Банк в день окончания срока действия Вклада (Депозита).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6.3. Банк, получив Заявку на изменение условий, проверяет ее соответствие условиям Сделки, при соответствии условий и согласии Банка на изменение условий Сделки осуществляет Акцепт Заявки на изменение условий и указывает в модуле «Депозиты» в соответствующем договоре существенные условия Сделки с учетом Заявки на изменение условий, в день поступления соответствующей Заявки на изменение условий -  по Заявкам на изменение условий в связи с пролонгацией Вклада (Депозита), в течение 3 (Трех) рабочих дней со дня поступления соответствующей Заявки на изменение условий – по Заявкам на изменение условий в связи с досрочным расторжением Вклада (Депозита). Операция по полному досрочному возврату Вклада (Депозита) и пролонгации Вклада (Депозита)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осуществляется Банком в день Акцепта Заявки на изменение условий. При несоответствии Заявки на изменение условий условиям Сделки или несогласии Банка с изменениями условий Сделки Банк осуществляет Возврат Заявки на изменение условий в срок, указанный в настоящем пункте Правил.</w:t>
      </w:r>
    </w:p>
    <w:p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6.4. При пролонгации Вклада (Депозита), в случаях, предусмотренных нормативными документами Банка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ajorEastAsia" w:hAnsi="Times New Roman" w:cs="Times New Roman"/>
          <w:sz w:val="24"/>
          <w:szCs w:val="24"/>
        </w:rPr>
        <w:t>открывается новый депозитный счет, на который переводится сумма Вклада (Депозита). Депозитный счет, открытый при размещении Вклада (Депозита), закрывается.</w:t>
      </w:r>
    </w:p>
    <w:p>
      <w:pPr>
        <w:spacing w:after="0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>Оформленная в системе ДБО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Заявка на изменение условий, </w:t>
      </w:r>
      <w:r>
        <w:rPr>
          <w:rFonts w:ascii="Times New Roman" w:hAnsi="Times New Roman" w:cs="Times New Roman"/>
          <w:sz w:val="24"/>
          <w:szCs w:val="24"/>
        </w:rPr>
        <w:t>подписанная корректной электронной подписью Клиента и содержащая Акцепт Заявки на изменение условий,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признается Сторонами официальным документом, удостоверяющим факт изменения условий Сделки по размещению денежных средств на Вклад (Депозит) в письменном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и имеет такую же юридическую силу, что и дополнительное соглашение к договору, заключенное его участниками в виде единого документа на бумажном носителе и собственноручно подписанное уполномоченными лицами Сторон.</w:t>
      </w:r>
    </w:p>
    <w:p>
      <w:pPr>
        <w:spacing w:after="0" w:line="240" w:lineRule="auto"/>
        <w:ind w:firstLine="284"/>
        <w:jc w:val="both"/>
        <w:rPr>
          <w:rFonts w:ascii="MS Shell Dlg" w:hAnsi="MS Shell Dlg" w:cs="MS Shell Dlg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6.6. При необходимости частичного досрочного возврата Вклада (Депозита) Клиент в модуле «Депозиты» выбирает требуемый договор, формирует Распоряжение на списание средств с депозитного счета и зачисление на расчетный счет, указанный в Заявке на размещение депозита, и отправляет его в Банк путем подписания электронной подписью Клиента.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6.7. Банк не позднее рабочего дня, следующего за днем получения Распоряжения от Клиента осуществляет перевод денежных средств со счета Вклада (Депозита) на расчетный счет Клиента, указанный в </w:t>
      </w:r>
      <w:r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размещение депозита,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или возвращает Распоряжение Клиенту с указанием причины невозможности его исполнения. </w:t>
      </w:r>
      <w:r>
        <w:rPr>
          <w:rFonts w:ascii="Times New Roman" w:eastAsiaTheme="majorEastAsia" w:hAnsi="Times New Roman"/>
          <w:sz w:val="24"/>
          <w:szCs w:val="24"/>
        </w:rPr>
        <w:t xml:space="preserve">Перевод денежных средств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Правилами ДБС. </w:t>
      </w:r>
    </w:p>
    <w:p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6.8. В случае отключения Системы ДБО Клиент вправе предоставить Заявку на изменение условий или Распоряжение на бумажном носителе непосредственно в офис Банка до 17:00 (</w:t>
      </w:r>
      <w:r>
        <w:rPr>
          <w:rFonts w:ascii="Times New Roman" w:hAnsi="Times New Roman" w:cs="Times New Roman"/>
          <w:sz w:val="24"/>
          <w:szCs w:val="24"/>
        </w:rPr>
        <w:t>не позднее 16:00 рабочего дня, предшествующего праздничному, если в случаях, предусмотренных законодательством, продолжительность рабочего дня, уменьшается на один час</w:t>
      </w:r>
      <w:r>
        <w:rPr>
          <w:rFonts w:ascii="Times New Roman" w:eastAsiaTheme="majorEastAsia" w:hAnsi="Times New Roman" w:cs="Times New Roman"/>
          <w:sz w:val="24"/>
          <w:szCs w:val="24"/>
        </w:rPr>
        <w:t>) местного времени (по месту нахождения подразделения Банка, в которое подается Заявка на изменение условий или Распоряжение).</w:t>
      </w:r>
    </w:p>
    <w:p>
      <w:pPr>
        <w:pStyle w:val="1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25242429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ОСОБЕННОСТИ РАЗМЕЩЕНИЯ ВКЛАДА (ДЕПОЗИТА) ИНДИВИДУАЛЬНЫМИ ПРЕДПРИНИМАТЕЛЯМИ И НОТАРИУСАМИ</w:t>
      </w:r>
      <w:bookmarkEnd w:id="7"/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7.1. Индивидуальный предприниматель/нотариус/адвокат, присоединяясь к настоящим Правилам, подтверждает, что ООО КБ «КОЛЬЦО УРАЛА» предоставило сведения о том, что: 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7.1.1. размещение денежных средств во Вклад (Депозит) осуществляется ООО КБ «КОЛЬЦО УРАЛА» (ИНН 6608001425, ОГРН 1026600001955) на основании договора банковского вклада (депозита);</w:t>
      </w:r>
    </w:p>
    <w:p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7.1.2. в соответствии с заключаемым договором банковского вклада (депозита) ООО КБ «КОЛЬЦО УРАЛА» обязуется возвратить поступившую от Клиента сумму Вклада и выплатить проценты на нее на условиях и в порядке, предусмотренных настоящими Правилами.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7.2. Индивидуальный предприниматель, присоединяясь к настоящим Правилам, подтверждает,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 нижеследующем: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риски, связанные с оказанием услуги индивидуальному предпринимателю, заключаются в отсутствии предусмотренных Федеральным законом от 23.12.2003 № 177-ФЗ «О страховании вкладов в банках Российской Федерации» гарантий по возмещению денежных средств в сумме более 1 400 000,00 руб., которые будут находиться на всех счетах (Вкладах) индивидуального предпринимателя и физического лица, имеющего статус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индивидуального предпринимателя, открытых в ООО КБ «КОЛЬЦО УРАЛА»;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7.2.2. денежные средства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УРАЛА», застрахованы в соответствии с Федеральным законом от 23.12.2003 № 177-ФЗ «О страховании вкладов в банках Российской Федерации» исключительно в пределах суммы 1 400 000,00 рублей.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 Нотариус/адвокат, присоединяясь к настоящим Правилам подтверждает, что уведомлен о нижеследующем: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7.3.1. риски, связанные с оказанием услуги нотариусу/адвокату, заключаются в отсутствии предусмотренных Федеральным законом от 23.12.2003 № 177-ФЗ «О страховании вкладов в банках Российской Федерации» гарантий по возмещению денежных средств, которые будут находиться на счетах (Вкладах) нотариуса/адвоката, открытых в ООО КБ «КОЛЬЦО УРАЛА»;</w:t>
      </w:r>
    </w:p>
    <w:p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7.3.2. денежные средства на всех счетах (Вкладах) нотариуса/ адвоката не застрахованы в соответствии с Федеральным законом от 23.12.2003 № 177-ФЗ «О страховании вкладов в банках Российской Федерации».</w:t>
      </w:r>
    </w:p>
    <w:p>
      <w:pPr>
        <w:pStyle w:val="1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25242430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ПРОЧИЕ УСЛОВИЯ</w:t>
      </w:r>
      <w:bookmarkEnd w:id="8"/>
    </w:p>
    <w:p>
      <w:pPr>
        <w:pStyle w:val="a3"/>
        <w:numPr>
          <w:ilvl w:val="1"/>
          <w:numId w:val="46"/>
        </w:numPr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гарантирует тайну Вклада (Депозита). Справки, касающиеся Вклада (Депозита), могут выдаваться исключительно в случаях, предусмотренных действующим законодательством РФ. </w:t>
      </w:r>
    </w:p>
    <w:p>
      <w:pPr>
        <w:pStyle w:val="a3"/>
        <w:numPr>
          <w:ilvl w:val="1"/>
          <w:numId w:val="46"/>
        </w:numPr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возникающие в процессе исполнения настоящих Правил споры решаются в претензионном порядке, со сроком ответа на претензию 30 (Тридцать) календарных дней. Если в претензионном порядке спор не решен, он передается на рассмотрение в Арбитражный суд Свердловской области.</w:t>
      </w:r>
    </w:p>
    <w:p>
      <w:pPr>
        <w:pStyle w:val="a3"/>
        <w:numPr>
          <w:ilvl w:val="1"/>
          <w:numId w:val="46"/>
        </w:numPr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Банк имеет право изменять настоящие Правила и предлагаемые Банком условия размещения Вкладов (Депозитов). Время вступления в силу принятых Банком изменений в настоящие Правила и/или условия привлечения средств во Вклады (Депозиты) указывается в соответствующем сообщении, размещаемом на сайте Банка в сети Интернет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kubank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1"/>
        <w:spacing w:before="0" w:line="240" w:lineRule="auto"/>
        <w:ind w:left="5245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9" w:name="_Toc25242431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1</w:t>
      </w:r>
      <w:bookmarkEnd w:id="9"/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и обслуживающихся по системе дистанционного банковского обслуживания «Интернет-Банк «Смарт»)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296"/>
      </w:tblGrid>
      <w:tr>
        <w:tc>
          <w:tcPr>
            <w:tcW w:w="0" w:type="auto"/>
            <w:gridSpan w:val="2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на размещение депозита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«__»________20__г.</w:t>
            </w:r>
          </w:p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Клиент:</w:t>
            </w: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gridSpan w:val="2"/>
            <w:tcBorders>
              <w:bottom w:val="dotted" w:sz="6" w:space="0" w:color="000000"/>
            </w:tcBorders>
            <w:shd w:val="clear" w:color="auto" w:fill="FDE9D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Прошу в соответствии с Правилами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обсуживающихся по системе дистанционного банковского обслуживания «Интернет-Банк «Смарт»), принять депозит на следующих условиях:</w:t>
            </w: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Поручаю ООО КБ «КОЛЬЦО УРАЛА» списать указанную в настоящей Заявке сумму со счета Клиента, открытого в ООО КБ «КОЛЬЦО УРАЛА» №: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зачислить ее на депозитный счет Клиента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ООО КБ «КОЛЬЦО УРАЛА», открываемый в соответствии с настоящей Заявкой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возврата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Востребование части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неснижаемого остатка: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досрочного расторжения договора: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Подписав настоящую Заявку Клиент соглашается с тем, что:</w:t>
      </w:r>
    </w:p>
    <w:p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изложенная в Заявке и предоставленная Банку, является полной, точной и достоверной во всех отношениях. Клиент не возражает против проверки и перепроверки в любое время Банком или его уполномоченными лицами представленной в Заявке информации. </w:t>
      </w:r>
    </w:p>
    <w:p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Настоящей Заявкой Клиент подтверждает присоединение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обсуживающихся по системе дистанционного банковского обслуживания «Интернет-Банк «Смарт») (далее - Правила)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ст. 428 ГК РФ. Клиент подтверждает, что ознакомлен и полностью согласен с Правилами, обязуется их неукоснительно исполнять. </w:t>
      </w:r>
    </w:p>
    <w:p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 обязуется своевременно уведомлять Банк о любых изменениях в информации, предоставленной им в Банк. 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Отметка Банка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4803"/>
      </w:tblGrid>
      <w:tr>
        <w:trPr>
          <w:trHeight w:val="298"/>
          <w:tblCellSpacing w:w="15" w:type="dxa"/>
        </w:trPr>
        <w:tc>
          <w:tcPr>
            <w:tcW w:w="2440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Договора банковского депозита </w:t>
            </w:r>
          </w:p>
        </w:tc>
        <w:tc>
          <w:tcPr>
            <w:tcW w:w="2513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440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 Счет в валюте депозита </w:t>
            </w:r>
          </w:p>
        </w:tc>
        <w:tc>
          <w:tcPr>
            <w:tcW w:w="2513" w:type="pct"/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ind w:left="111"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ind w:left="4537" w:firstLine="708"/>
        <w:rPr>
          <w:b/>
        </w:rPr>
      </w:pPr>
      <w:r>
        <w:rPr>
          <w:b/>
        </w:rPr>
        <w:br w:type="page"/>
      </w:r>
    </w:p>
    <w:p>
      <w:pPr>
        <w:pStyle w:val="1"/>
        <w:spacing w:before="0" w:line="240" w:lineRule="auto"/>
        <w:ind w:left="5245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0" w:name="_Toc25242432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2</w:t>
      </w:r>
      <w:bookmarkEnd w:id="10"/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и обслуживающихся по системе дистанционного банковского обслуживания «Интернет-Банк «Смарт»)</w:t>
      </w: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досрочное расторжение депозита № __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7125"/>
      </w:tblGrid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(наименование)                                       (ИНН)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досрочно расторгнуть:</w:t>
      </w: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748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расторжения договора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досрочному расторжению депозита.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досрочному расторжению депозита.</w:t>
            </w:r>
          </w:p>
        </w:tc>
      </w:tr>
    </w:tbl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>
      <w:pPr>
        <w:pStyle w:val="1"/>
        <w:spacing w:before="0" w:line="240" w:lineRule="auto"/>
        <w:ind w:left="5245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1" w:name="_Toc25242433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3</w:t>
      </w:r>
      <w:bookmarkEnd w:id="11"/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 </w:t>
      </w:r>
      <w:r>
        <w:rPr>
          <w:rFonts w:ascii="Times New Roman" w:hAnsi="Times New Roman" w:cs="Times New Roman"/>
          <w:bCs/>
        </w:rPr>
        <w:t>и обслуживающихся по системе дистанционного банковского обслуживания «Интернет-Банк «Смарт»)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Заявление на пролонгацию депозита № 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Дата: </w:t>
      </w:r>
    </w:p>
    <w:p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6947"/>
      </w:tblGrid>
      <w:t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(наименование)                                       (ИНН)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продлить срок действия:</w:t>
      </w: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3252"/>
      </w:tblGrid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пролонгации (дни)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пролонгации, в валюте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пролонгации</w:t>
            </w:r>
            <w:r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пролонгации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пролонгации депозита</w:t>
            </w:r>
          </w:p>
        </w:tc>
      </w:tr>
    </w:tbl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>
      <w:pPr>
        <w:rPr>
          <w:rFonts w:ascii="Times New Roman" w:hAnsi="Times New Roman" w:cs="Times New Roman"/>
        </w:rPr>
      </w:pPr>
    </w:p>
    <w:sectPr>
      <w:headerReference w:type="default" r:id="rId13"/>
      <w:footerReference w:type="default" r:id="rId14"/>
      <w:pgSz w:w="11906" w:h="16838"/>
      <w:pgMar w:top="993" w:right="991" w:bottom="993" w:left="1418" w:header="709" w:footer="4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af8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процентная ставка, действующая на дату пролонгации Вклада (Депозита) и соответствующая сроку пролонгации Вклада (Депозита). Ознакомиться с актуальными ставками можно на сайте Банка </w:t>
      </w:r>
      <w:hyperlink r:id="rId1" w:history="1">
        <w:r>
          <w:rPr>
            <w:rStyle w:val="a8"/>
            <w:rFonts w:ascii="Times New Roman" w:hAnsi="Times New Roman" w:cs="Times New Roman"/>
            <w:lang w:val="en-US"/>
          </w:rPr>
          <w:t>www</w:t>
        </w:r>
        <w:r>
          <w:rPr>
            <w:rStyle w:val="a8"/>
            <w:rFonts w:ascii="Times New Roman" w:hAnsi="Times New Roman" w:cs="Times New Roman"/>
          </w:rPr>
          <w:t>.</w:t>
        </w:r>
        <w:r>
          <w:rPr>
            <w:rStyle w:val="a8"/>
            <w:rFonts w:ascii="Times New Roman" w:hAnsi="Times New Roman" w:cs="Times New Roman"/>
            <w:lang w:val="en-US"/>
          </w:rPr>
          <w:t>kubank</w:t>
        </w:r>
        <w:r>
          <w:rPr>
            <w:rStyle w:val="a8"/>
            <w:rFonts w:ascii="Times New Roman" w:hAnsi="Times New Roman" w:cs="Times New Roman"/>
          </w:rPr>
          <w:t>.</w:t>
        </w:r>
        <w:r>
          <w:rPr>
            <w:rStyle w:val="a8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8433"/>
      <w:docPartObj>
        <w:docPartGallery w:val="Page Numbers (Top of Page)"/>
        <w:docPartUnique/>
      </w:docPartObj>
    </w:sdtPr>
    <w:sdtContent>
      <w:p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242"/>
    <w:multiLevelType w:val="multilevel"/>
    <w:tmpl w:val="3626D6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2E6E26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22A3992"/>
    <w:multiLevelType w:val="multilevel"/>
    <w:tmpl w:val="A17EF4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3" w15:restartNumberingAfterBreak="0">
    <w:nsid w:val="02BC18EB"/>
    <w:multiLevelType w:val="multilevel"/>
    <w:tmpl w:val="3D32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10042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7243DF"/>
    <w:multiLevelType w:val="multilevel"/>
    <w:tmpl w:val="087CCF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D41F90"/>
    <w:multiLevelType w:val="multilevel"/>
    <w:tmpl w:val="FEEE8BAE"/>
    <w:lvl w:ilvl="0">
      <w:start w:val="2"/>
      <w:numFmt w:val="decimal"/>
      <w:lvlText w:val="5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F267F"/>
    <w:multiLevelType w:val="hybridMultilevel"/>
    <w:tmpl w:val="085892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0FDD4731"/>
    <w:multiLevelType w:val="multilevel"/>
    <w:tmpl w:val="ABE4E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D2674AA"/>
    <w:multiLevelType w:val="multilevel"/>
    <w:tmpl w:val="F82AF2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835C5"/>
    <w:multiLevelType w:val="multilevel"/>
    <w:tmpl w:val="07F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A51E9"/>
    <w:multiLevelType w:val="hybridMultilevel"/>
    <w:tmpl w:val="5838C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7779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C376EDD"/>
    <w:multiLevelType w:val="multilevel"/>
    <w:tmpl w:val="D7161B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4" w15:restartNumberingAfterBreak="0">
    <w:nsid w:val="2CBD7D9A"/>
    <w:multiLevelType w:val="multilevel"/>
    <w:tmpl w:val="B1C8B6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5" w15:restartNumberingAfterBreak="0">
    <w:nsid w:val="350D600D"/>
    <w:multiLevelType w:val="multilevel"/>
    <w:tmpl w:val="35FC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606E4C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7" w15:restartNumberingAfterBreak="0">
    <w:nsid w:val="3BBB2279"/>
    <w:multiLevelType w:val="multilevel"/>
    <w:tmpl w:val="566A95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8" w15:restartNumberingAfterBreak="0">
    <w:nsid w:val="40373FC4"/>
    <w:multiLevelType w:val="multilevel"/>
    <w:tmpl w:val="165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30F01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3C81E5B"/>
    <w:multiLevelType w:val="multilevel"/>
    <w:tmpl w:val="1B7E2F06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226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536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6444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8712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62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288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796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7064" w:hanging="180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45E473B1"/>
    <w:multiLevelType w:val="multilevel"/>
    <w:tmpl w:val="50FC3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4547BA"/>
    <w:multiLevelType w:val="multilevel"/>
    <w:tmpl w:val="C08442A8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3" w15:restartNumberingAfterBreak="0">
    <w:nsid w:val="4C0E02F0"/>
    <w:multiLevelType w:val="multilevel"/>
    <w:tmpl w:val="B89CADB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CF12D4"/>
    <w:multiLevelType w:val="multilevel"/>
    <w:tmpl w:val="FD683F2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eastAsiaTheme="minorHAnsi" w:hint="default"/>
      </w:rPr>
    </w:lvl>
  </w:abstractNum>
  <w:abstractNum w:abstractNumId="25" w15:restartNumberingAfterBreak="0">
    <w:nsid w:val="54DA64B0"/>
    <w:multiLevelType w:val="hybridMultilevel"/>
    <w:tmpl w:val="DC1230D4"/>
    <w:lvl w:ilvl="0" w:tplc="9A3C8A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580759E2"/>
    <w:multiLevelType w:val="hybridMultilevel"/>
    <w:tmpl w:val="04EACB06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DA5F24"/>
    <w:multiLevelType w:val="multilevel"/>
    <w:tmpl w:val="11E4BFAA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28" w15:restartNumberingAfterBreak="0">
    <w:nsid w:val="59880FAF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598F1364"/>
    <w:multiLevelType w:val="multilevel"/>
    <w:tmpl w:val="2B386C5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</w:rPr>
    </w:lvl>
  </w:abstractNum>
  <w:abstractNum w:abstractNumId="30" w15:restartNumberingAfterBreak="0">
    <w:nsid w:val="5CB1330E"/>
    <w:multiLevelType w:val="multilevel"/>
    <w:tmpl w:val="E3C23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0572B7D"/>
    <w:multiLevelType w:val="multilevel"/>
    <w:tmpl w:val="88D27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60747AD0"/>
    <w:multiLevelType w:val="multilevel"/>
    <w:tmpl w:val="95F8B11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33" w15:restartNumberingAfterBreak="0">
    <w:nsid w:val="61DB4B5D"/>
    <w:multiLevelType w:val="multilevel"/>
    <w:tmpl w:val="138A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133FC"/>
    <w:multiLevelType w:val="multilevel"/>
    <w:tmpl w:val="FF9A5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67E5C"/>
    <w:multiLevelType w:val="hybridMultilevel"/>
    <w:tmpl w:val="E8E0894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C2817EE"/>
    <w:multiLevelType w:val="hybridMultilevel"/>
    <w:tmpl w:val="7814F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5A46C7"/>
    <w:multiLevelType w:val="multilevel"/>
    <w:tmpl w:val="5E66005A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E881713"/>
    <w:multiLevelType w:val="multilevel"/>
    <w:tmpl w:val="C05E7468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39" w15:restartNumberingAfterBreak="0">
    <w:nsid w:val="70177E46"/>
    <w:multiLevelType w:val="multilevel"/>
    <w:tmpl w:val="27AE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842E53"/>
    <w:multiLevelType w:val="hybridMultilevel"/>
    <w:tmpl w:val="395A949C"/>
    <w:lvl w:ilvl="0" w:tplc="79BC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062992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42" w15:restartNumberingAfterBreak="0">
    <w:nsid w:val="7327730D"/>
    <w:multiLevelType w:val="hybridMultilevel"/>
    <w:tmpl w:val="A96AEEDC"/>
    <w:lvl w:ilvl="0" w:tplc="2E6C4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33565"/>
    <w:multiLevelType w:val="multilevel"/>
    <w:tmpl w:val="32544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8397D"/>
    <w:multiLevelType w:val="multilevel"/>
    <w:tmpl w:val="3CC8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6710B0"/>
    <w:multiLevelType w:val="multilevel"/>
    <w:tmpl w:val="A12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7"/>
  </w:num>
  <w:num w:numId="3">
    <w:abstractNumId w:val="0"/>
  </w:num>
  <w:num w:numId="4">
    <w:abstractNumId w:val="43"/>
  </w:num>
  <w:num w:numId="5">
    <w:abstractNumId w:val="21"/>
  </w:num>
  <w:num w:numId="6">
    <w:abstractNumId w:val="44"/>
  </w:num>
  <w:num w:numId="7">
    <w:abstractNumId w:val="6"/>
  </w:num>
  <w:num w:numId="8">
    <w:abstractNumId w:val="23"/>
  </w:num>
  <w:num w:numId="9">
    <w:abstractNumId w:val="5"/>
  </w:num>
  <w:num w:numId="10">
    <w:abstractNumId w:val="26"/>
  </w:num>
  <w:num w:numId="11">
    <w:abstractNumId w:val="36"/>
  </w:num>
  <w:num w:numId="12">
    <w:abstractNumId w:val="11"/>
  </w:num>
  <w:num w:numId="13">
    <w:abstractNumId w:val="13"/>
  </w:num>
  <w:num w:numId="14">
    <w:abstractNumId w:val="2"/>
  </w:num>
  <w:num w:numId="15">
    <w:abstractNumId w:val="40"/>
  </w:num>
  <w:num w:numId="16">
    <w:abstractNumId w:val="7"/>
  </w:num>
  <w:num w:numId="17">
    <w:abstractNumId w:val="41"/>
  </w:num>
  <w:num w:numId="18">
    <w:abstractNumId w:val="16"/>
  </w:num>
  <w:num w:numId="19">
    <w:abstractNumId w:val="20"/>
  </w:num>
  <w:num w:numId="20">
    <w:abstractNumId w:val="15"/>
  </w:num>
  <w:num w:numId="21">
    <w:abstractNumId w:val="30"/>
  </w:num>
  <w:num w:numId="22">
    <w:abstractNumId w:val="1"/>
  </w:num>
  <w:num w:numId="23">
    <w:abstractNumId w:val="28"/>
  </w:num>
  <w:num w:numId="24">
    <w:abstractNumId w:val="4"/>
  </w:num>
  <w:num w:numId="25">
    <w:abstractNumId w:val="19"/>
  </w:num>
  <w:num w:numId="26">
    <w:abstractNumId w:val="12"/>
  </w:num>
  <w:num w:numId="27">
    <w:abstractNumId w:val="38"/>
  </w:num>
  <w:num w:numId="28">
    <w:abstractNumId w:val="33"/>
  </w:num>
  <w:num w:numId="29">
    <w:abstractNumId w:val="42"/>
  </w:num>
  <w:num w:numId="30">
    <w:abstractNumId w:val="34"/>
  </w:num>
  <w:num w:numId="31">
    <w:abstractNumId w:val="17"/>
  </w:num>
  <w:num w:numId="32">
    <w:abstractNumId w:val="8"/>
  </w:num>
  <w:num w:numId="33">
    <w:abstractNumId w:val="31"/>
  </w:num>
  <w:num w:numId="34">
    <w:abstractNumId w:val="14"/>
  </w:num>
  <w:num w:numId="35">
    <w:abstractNumId w:val="24"/>
  </w:num>
  <w:num w:numId="36">
    <w:abstractNumId w:val="29"/>
  </w:num>
  <w:num w:numId="37">
    <w:abstractNumId w:val="9"/>
  </w:num>
  <w:num w:numId="38">
    <w:abstractNumId w:val="32"/>
  </w:num>
  <w:num w:numId="39">
    <w:abstractNumId w:val="10"/>
  </w:num>
  <w:num w:numId="40">
    <w:abstractNumId w:val="39"/>
  </w:num>
  <w:num w:numId="41">
    <w:abstractNumId w:val="3"/>
  </w:num>
  <w:num w:numId="42">
    <w:abstractNumId w:val="45"/>
  </w:num>
  <w:num w:numId="43">
    <w:abstractNumId w:val="18"/>
  </w:num>
  <w:num w:numId="44">
    <w:abstractNumId w:val="27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EC5520-ABA5-4A24-9A93-4E2A0F8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567"/>
        <w:tab w:val="right" w:leader="dot" w:pos="9771"/>
      </w:tabs>
      <w:spacing w:after="100"/>
    </w:p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2">
    <w:name w:val="footnote reference"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toc 2"/>
    <w:basedOn w:val="a"/>
    <w:next w:val="a"/>
    <w:autoRedefine/>
    <w:uiPriority w:val="39"/>
    <w:unhideWhenUsed/>
    <w:pPr>
      <w:tabs>
        <w:tab w:val="right" w:leader="dot" w:pos="9771"/>
      </w:tabs>
      <w:spacing w:after="100"/>
    </w:pPr>
    <w:rPr>
      <w:b/>
      <w:noProof/>
    </w:rPr>
  </w:style>
  <w:style w:type="paragraph" w:styleId="af5">
    <w:name w:val="Body Text"/>
    <w:basedOn w:val="a"/>
    <w:link w:val="af6"/>
    <w:uiPriority w:val="99"/>
    <w:semiHidden/>
    <w:unhideWhenUsed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</w:style>
  <w:style w:type="paragraph" w:styleId="af7">
    <w:name w:val="Revision"/>
    <w:hidden/>
    <w:uiPriority w:val="99"/>
    <w:semiHidden/>
    <w:pPr>
      <w:spacing w:after="0" w:line="240" w:lineRule="auto"/>
    </w:pPr>
  </w:style>
  <w:style w:type="paragraph" w:customStyle="1" w:styleId="list1">
    <w:name w:val="lis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osit-open-doc-footer1">
    <w:name w:val="deposit-open-doc-footer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766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309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845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098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7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ank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ABE770D0E8F649B9978529825A280D" ma:contentTypeVersion="8" ma:contentTypeDescription="Создание документа." ma:contentTypeScope="" ma:versionID="4313442b93b28f33fa57f2b66e639bcc">
  <xsd:schema xmlns:xsd="http://www.w3.org/2001/XMLSchema" xmlns:xs="http://www.w3.org/2001/XMLSchema" xmlns:p="http://schemas.microsoft.com/office/2006/metadata/properties" xmlns:ns2="4de8a444-4a64-422b-b198-98b43df34036" targetNamespace="http://schemas.microsoft.com/office/2006/metadata/properties" ma:root="true" ma:fieldsID="9dadd7ca6bcccb0ef53c3d4e053ba18f" ns2:_="">
    <xsd:import namespace="4de8a444-4a64-422b-b198-98b43df34036"/>
    <xsd:element name="properties">
      <xsd:complexType>
        <xsd:sequence>
          <xsd:element name="documentManagement">
            <xsd:complexType>
              <xsd:all>
                <xsd:element ref="ns2:_x0420__x0430__x0437__x0434__x0435__x043b_" minOccurs="0"/>
                <xsd:element ref="ns2:_x0414__x043e__x043a__x0443__x043c__x0435__x043d__x0442_" minOccurs="0"/>
                <xsd:element ref="ns2:_x0423__x0442__x0432__x0435__x0440__x0436__x0434__x0435__x043d_" minOccurs="0"/>
                <xsd:element ref="ns2:_x0414__x0430__x0442__x0430__x0020__x0443__x0442__x0432__x0435__x0440__x0436__x0434__x0435__x043d__x0438__x044f_" minOccurs="0"/>
                <xsd:element ref="ns2:_x0412__x0432__x0435__x0434__x0435__x043d__x0020__x0432__x0020__x0434__x0435__x0439__x0441__x0442__x0432__x0438__x0435_" minOccurs="0"/>
                <xsd:element ref="ns2:_x041e__x0442__x0432__x0435__x0442__x0441__x0442__x0432__x0435__x043d__x043d__x044b__x0439_" minOccurs="0"/>
                <xsd:element ref="ns2:_x041e__x0442__x043c__x0435__x043d__x0435__x043d_" minOccurs="0"/>
                <xsd:element ref="ns2:_x0420__x0435__x043a__x0432__x0438__x0437__x0438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8a444-4a64-422b-b198-98b43df3403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8" nillable="true" ma:displayName="Раздел" ma:default="1. Кредиты" ma:format="Dropdown" ma:internalName="_x0420__x0430__x0437__x0434__x0435__x043b_">
      <xsd:simpleType>
        <xsd:restriction base="dms:Choice">
          <xsd:enumeration value="1. Кредиты"/>
          <xsd:enumeration value="2. Счета, депозиты"/>
          <xsd:enumeration value="3. Дополнительные услуги (SMS-информирование, ДБО)"/>
          <xsd:enumeration value="4. Зарплатный проект"/>
          <xsd:enumeration value="5. Корпоративные платежные карты"/>
        </xsd:restriction>
      </xsd:simpleType>
    </xsd:element>
    <xsd:element name="_x0414__x043e__x043a__x0443__x043c__x0435__x043d__x0442_" ma:index="9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23__x0442__x0432__x0435__x0440__x0436__x0434__x0435__x043d_" ma:index="10" nillable="true" ma:displayName="Утвержден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11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2__x0432__x0435__x0434__x0435__x043d__x0020__x0432__x0020__x0434__x0435__x0439__x0441__x0442__x0432__x0438__x0435_" ma:index="12" nillable="true" ma:displayName="Введен в действие" ma:format="DateOnly" ma:internalName="_x0412__x0432__x0435__x0434__x0435__x043d__x0020__x0432__x0020__x0434__x0435__x0439__x0441__x0442__x0432__x0438__x0435_">
      <xsd:simpleType>
        <xsd:restriction base="dms:DateTime"/>
      </xsd:simpleType>
    </xsd:element>
    <xsd:element name="_x041e__x0442__x0432__x0435__x0442__x0441__x0442__x0432__x0435__x043d__x043d__x044b__x0439_" ma:index="13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  <xsd:element name="_x041e__x0442__x043c__x0435__x043d__x0435__x043d_" ma:index="14" nillable="true" ma:displayName="Дата отмены" ma:format="DateOnly" ma:internalName="_x041e__x0442__x043c__x0435__x043d__x0435__x043d_">
      <xsd:simpleType>
        <xsd:restriction base="dms:DateTime"/>
      </xsd:simpleType>
    </xsd:element>
    <xsd:element name="_x0420__x0435__x043a__x0432__x0438__x0437__x0438__x0442_" ma:index="15" nillable="true" ma:displayName="Реквизит" ma:internalName="_x0420__x0435__x043a__x0432__x0438__x0437__x0438__x0442_">
      <xsd:simpleType>
        <xsd:restriction base="dms:Text">
          <xsd:maxLength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3__x0442__x0432__x0435__x0440__x0436__x0434__x0435__x043d_ xmlns="4de8a444-4a64-422b-b198-98b43df34036">Приказ Председателя Правления №912</_x0423__x0442__x0432__x0435__x0440__x0436__x0434__x0435__x043d_>
    <_x0420__x0430__x0437__x0434__x0435__x043b_ xmlns="4de8a444-4a64-422b-b198-98b43df34036">2. Счета, депозиты</_x0420__x0430__x0437__x0434__x0435__x043b_>
    <_x041e__x0442__x0432__x0435__x0442__x0441__x0442__x0432__x0435__x043d__x043d__x044b__x0439_ xmlns="4de8a444-4a64-422b-b198-98b43df34036">Кузьменко О. В.</_x041e__x0442__x0432__x0435__x0442__x0441__x0442__x0432__x0435__x043d__x043d__x044b__x0439_>
    <_x0414__x0430__x0442__x0430__x0020__x0443__x0442__x0432__x0435__x0440__x0436__x0434__x0435__x043d__x0438__x044f_ xmlns="4de8a444-4a64-422b-b198-98b43df34036">2019-12-25T19:00:00+00:00</_x0414__x0430__x0442__x0430__x0020__x0443__x0442__x0432__x0435__x0440__x0436__x0434__x0435__x043d__x0438__x044f_>
    <_x041e__x0442__x043c__x0435__x043d__x0435__x043d_ xmlns="4de8a444-4a64-422b-b198-98b43df34036" xsi:nil="true"/>
    <_x0420__x0435__x043a__x0432__x0438__x0437__x0438__x0442_ xmlns="4de8a444-4a64-422b-b198-98b43df34036">О</_x0420__x0435__x043a__x0432__x0438__x0437__x0438__x0442_>
    <_x0412__x0432__x0435__x0434__x0435__x043d__x0020__x0432__x0020__x0434__x0435__x0439__x0441__x0442__x0432__x0438__x0435_ xmlns="4de8a444-4a64-422b-b198-98b43df34036">2019-12-26T19:00:00+00:00</_x0412__x0432__x0435__x0434__x0435__x043d__x0020__x0432__x0020__x0434__x0435__x0439__x0441__x0442__x0432__x0438__x0435_>
    <_x0414__x043e__x043a__x0443__x043c__x0435__x043d__x0442_ xmlns="4de8a444-4a64-422b-b198-98b43df34036"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_x0414__x043e__x043a__x0443__x043c__x0435__x043d__x0442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39C6-9D41-4F1F-8797-EF6B5DE6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8a444-4a64-422b-b198-98b43df3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25998-667A-45C0-BCB8-4772B321D352}">
  <ds:schemaRefs>
    <ds:schemaRef ds:uri="http://schemas.microsoft.com/office/2006/metadata/properties"/>
    <ds:schemaRef ds:uri="http://schemas.microsoft.com/office/infopath/2007/PartnerControls"/>
    <ds:schemaRef ds:uri="4de8a444-4a64-422b-b198-98b43df34036"/>
  </ds:schemaRefs>
</ds:datastoreItem>
</file>

<file path=customXml/itemProps3.xml><?xml version="1.0" encoding="utf-8"?>
<ds:datastoreItem xmlns:ds="http://schemas.openxmlformats.org/officeDocument/2006/customXml" ds:itemID="{535790EF-B4C0-417B-AD14-E0DED81F6B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2C072-D29E-40F0-9221-B5D1EA5C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vt:lpstr>
    </vt:vector>
  </TitlesOfParts>
  <Company/>
  <LinksUpToDate>false</LinksUpToDate>
  <CharactersWithSpaces>27687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dc:title>
  <dc:subject/>
  <dc:creator>Микова Е.В.</dc:creator>
  <cp:keywords/>
  <dc:description/>
  <cp:lastModifiedBy>Лескина Ю.В.</cp:lastModifiedBy>
  <cp:revision>21</cp:revision>
  <cp:lastPrinted>2019-11-27T09:57:00Z</cp:lastPrinted>
  <dcterms:created xsi:type="dcterms:W3CDTF">2020-03-03T04:31:00Z</dcterms:created>
  <dcterms:modified xsi:type="dcterms:W3CDTF">2020-03-12T11:02:00Z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0x010100A6ABE770D0E8F649B9978529825A280D</vt:lpwstr>
  </property>
</Properties>
</file>