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2524242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6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7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ПОРЯДОК ИЗМЕНЕНИЯ УСЛОВИЙ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9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0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1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1. </w:t>
            </w:r>
            <w:r>
              <w:rPr>
                <w:rFonts w:ascii="Times New Roman" w:hAnsi="Times New Roman" w:cs="Times New Roman"/>
              </w:rPr>
              <w:t>Заявка на размещение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2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3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3.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"/>
        <w:numPr>
          <w:ilvl w:val="0"/>
          <w:numId w:val="2"/>
        </w:numPr>
        <w:spacing w:after="12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524242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242424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2"/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 Банке Вклад (Депозит).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 и Заявкой, направленной Клиентом и акцептованной Банком.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. Сделкой (договором) является совокупность условий, установленных настоящими Правилами и Заявкой, направленной Клиентом и акцептованной Банком. 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размещение депозита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совокупность существенных условий Сделки, которые заполняются/выбираются Клиентом в Системе ДБО, исходя из предлагаемых Банком вариантов размещения денежных средств, размещенных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 существенных условий Сделки устанавливается в автоматическом режиме в зависимости от введенных Клиентом условий Сделки. В рамках настоящих Правил Заявка на размещение депозита считается офертой Клиента и оформляется Клиентом по форме Приложения № 1 к настоящим Правилам.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Приложений № 2 и №3 к настоящим Правилам.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проставления отметки об исполнении с указанием наименования, БИК и корреспондентского счета Банка и даты исполнения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 депозитного договора и номер депозитного счета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Клиента путем проставления на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отметки о возврате с указанием наименования, БИК и корреспондентского счета Банка и даты возврата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наименования, БИК и корреспондентского счета Банка и даты исполнения Заявки на изменение условий, а также даты исполнения документа.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возврате, с указанием в ней наименования, БИК и корреспондентского счета Банка и даты возврата Заявки на изменение условий.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5242425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3"/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процентные ставки при досрочном востребовании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</w:rPr>
        <w:t xml:space="preserve"> осуществляется в следующем порядке: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hAnsi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</w:t>
      </w:r>
      <w:r>
        <w:rPr>
          <w:rFonts w:ascii="Times New Roman" w:hAnsi="Times New Roman"/>
          <w:sz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Заявке, на счет Вклада (Депозита), открываемый Банком в случае акцепта Заявки).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После указания/заполнения всех существенных условий Сделки по размещению Депозита Клиент не </w:t>
      </w:r>
      <w:r>
        <w:rPr>
          <w:spacing w:val="5"/>
        </w:rPr>
        <w:t xml:space="preserve">позднее 16:45 </w:t>
      </w:r>
      <w:r>
        <w:rPr>
          <w:rFonts w:ascii="TimesNewRomanPSMT" w:hAnsi="TimesNewRomanPSMT" w:cs="TimesNewRomanPSMT"/>
          <w:sz w:val="24"/>
          <w:szCs w:val="24"/>
        </w:rPr>
        <w:t>(не позднее 15:45,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spacing w:val="5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Клиента. 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При согласии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Вклада/Депозита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депозита, осуществляет Акцепт Заявки на размещение депозита и фиксирует в модуле «Депозиты» Системы ДБО все существенные условия Сделки.</w:t>
      </w:r>
    </w:p>
    <w:p>
      <w:pPr>
        <w:pStyle w:val="22"/>
        <w:shd w:val="clear" w:color="auto" w:fill="auto"/>
        <w:tabs>
          <w:tab w:val="left" w:pos="623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отказа Банка от размещения Вклада (Депозита) Клиента, Банк осуществляет Возврат Заявки на размещение депозита.</w:t>
      </w:r>
    </w:p>
    <w:p>
      <w:pPr>
        <w:pStyle w:val="22"/>
        <w:shd w:val="clear" w:color="auto" w:fill="auto"/>
        <w:tabs>
          <w:tab w:val="left" w:pos="1276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размещению Вклада (Депозита) считается заключенной с момента поступления от Клиента денежных средств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Оформленная в системе ДБО Заявка на размещение депозита, подписанная корректной электронной подписью Клиента и содержащая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 и собственноручно подписанный уполномоченными лицами Сторон.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служить основанием для признания такой Сделки недействительной.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полученную информацию от разглашения.</w:t>
      </w: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5242426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3"/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Заявке, суммы, указанной в Заявке на размещение депозита, до момента ее зачисления на депозитный счет в Банке;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>
      <w:pPr>
        <w:pStyle w:val="1"/>
        <w:numPr>
          <w:ilvl w:val="0"/>
          <w:numId w:val="2"/>
        </w:numPr>
        <w:spacing w:after="100" w:afterAutospacing="1" w:line="240" w:lineRule="auto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5242427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5"/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Принять денежные средства Клиента в сумме и на срок, согласованные Банком и Клиентом, и указанные в Заявке на размещение депозита, содержащей Акцепт Заявки на размещение депозита.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соответствии с условиями, согласованными Банком и Клиентом и указанными в Заявке на размещение депозита, содержащей Акцепт Заявки на размещение депозита. При начислении процентов число дней в году и в месяце принимается за календарное.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достаточных денежных средств на момент зачисления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>
      <w:pPr>
        <w:pStyle w:val="a3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Использовать полученные от Клиента денежные средства на цели, не противоречащие своей уставной деятельности.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524242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6"/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Вклада/Депозита (уменьшение суммы в результате частичного досрочного возврата Вклада/Депозита);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Вклада/Депозита (пролонгация Вклада/Депозита или </w:t>
      </w:r>
      <w:r>
        <w:rPr>
          <w:rFonts w:ascii="Times New Roman" w:hAnsi="Times New Roman"/>
          <w:sz w:val="24"/>
        </w:rPr>
        <w:t>уменьшение срока Вклада/Депозита в результате полного досрочного возврата Вклада/Депозита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Вклада/Депозита Клиент: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16:45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15:45,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электронной подписью.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указывает в модуле «Депозиты» в соответствующем договоре существенные условия Сделки с учетом Заявки на изменение условий, в течение 3 (Трех) рабочих дней со дня поступления соответствующей Заявки на изменение условий. Операция по полному досрочному возврату Вклада/Депозита и пролонгации Вклада/Депозита 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указанный в настоящем пункте Правил.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Вклада/Депозита,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сумма Вклада/Депозита. Депозитный счет, открытый при размещении Вклада/Депозита, закрывается.</w:t>
      </w:r>
    </w:p>
    <w:p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Сторон.</w:t>
      </w:r>
    </w:p>
    <w:p>
      <w:pPr>
        <w:spacing w:after="0" w:line="240" w:lineRule="auto"/>
        <w:ind w:firstLine="284"/>
        <w:jc w:val="both"/>
        <w:rPr>
          <w:rFonts w:ascii="MS Shell Dlg" w:hAnsi="MS Shell Dlg" w:cs="MS Shell Dlg"/>
          <w:color w:val="000000" w:themeColor="text1"/>
          <w:sz w:val="17"/>
          <w:szCs w:val="17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рабочего дня, следующего за днем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>
      <w:pPr>
        <w:spacing w:after="0" w:line="240" w:lineRule="auto"/>
        <w:ind w:firstLine="284"/>
        <w:jc w:val="both"/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Депозита на бумажном носителе непосредственно в офис Банка до 16:00 местного времени (по месту нахождения подразделения Банка, в которое подается Заявка на изменение условий или Распоряжение).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5242429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7"/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7.1.1. размещение денежных средств во вклад (депозит) осуществляется ООО КБ «КОЛЬЦО УРАЛА» (ИНН 6608001425, ОГРН 1026600001955) на основании договора банковского вклада (депозита);</w:t>
      </w:r>
    </w:p>
    <w:p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 проценты на нее на условиях и в порядке, предусмотренных настоящими Правилами.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 предпринимателю,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 в сумме более 1 400 000,00 руб.,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от 23.12.2003 № 177-ФЗ «О страховании вкладов в банках Российской Федерации» исключительно в пределах суммы 1 400 000,00 рублей.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присоединяясь к настоящим Правилам подтверждает, что 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7.3.1. риски, связанные с оказанием услуги нотариусу/адвокату,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средств, которые будут находиться на счетах (вкладах) нотариуса/адвоката, открытых в ООО КБ «КОЛЬЦО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 адвоката не застрахованы в соответствии с Федеральным законом от 23.12.2003 № 177-ФЗ «О страховании вкладов в банках Российской Федерации».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5242430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изменять настоящие Правила и предлагаемые Банком условия размещения Вкладов/Депозитов. Время вступления в силу принятых Банком изменений в настоящие Правила и/или условия привлечения средств во Вклады (Депозиты) указывается в соответствующем сообщении, размещаемом на сайте Банка в сети Интернет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25242431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  <w:bookmarkEnd w:id="9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296"/>
      </w:tblGrid>
      <w:tr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 Клиента, открытого в ООО КБ «КОЛЬЦО УРАЛА» №: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Отметка Банка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803"/>
      </w:tblGrid>
      <w:tr>
        <w:trPr>
          <w:trHeight w:val="298"/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513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513" w:type="pct"/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1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4537" w:firstLine="708"/>
        <w:rPr>
          <w:b/>
        </w:rPr>
      </w:pPr>
      <w:r>
        <w:rPr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25242432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bookmarkEnd w:id="10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25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8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25242433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  <w:bookmarkEnd w:id="11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 </w:t>
      </w: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947"/>
      </w:tblGrid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252"/>
      </w:tblGrid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пролонгации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rPr>
          <w:rFonts w:ascii="Times New Roman" w:hAnsi="Times New Roman" w:cs="Times New Roman"/>
        </w:rPr>
      </w:pPr>
    </w:p>
    <w:sectPr>
      <w:headerReference w:type="default" r:id="rId13"/>
      <w:footerReference w:type="default" r:id="rId14"/>
      <w:pgSz w:w="11906" w:h="16838"/>
      <w:pgMar w:top="993" w:right="991" w:bottom="993" w:left="1418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af8"/>
        <w:jc w:val="both"/>
      </w:pPr>
      <w:r>
        <w:rPr>
          <w:rStyle w:val="af2"/>
        </w:rPr>
        <w:footnoteRef/>
      </w:r>
      <w:r>
        <w:t xml:space="preserve"> Указывается процентная ставка, действующая на дату пролонгации Вклада/Депозита и соответствующая сроку пролонгации Вклада/Депозита. Ознакомиться с актуальными ставками можно на сайте Банка </w:t>
      </w:r>
      <w:hyperlink r:id="rId1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kubank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87AAAD45C2F40BB06A223B72F98F5" ma:contentTypeVersion="10" ma:contentTypeDescription="Создание документа." ma:contentTypeScope="" ma:versionID="f75b16bf4d20f41c517e5ebe8a2167e3">
  <xsd:schema xmlns:xsd="http://www.w3.org/2001/XMLSchema" xmlns:xs="http://www.w3.org/2001/XMLSchema" xmlns:p="http://schemas.microsoft.com/office/2006/metadata/properties" xmlns:ns2="683f9fd9-0c10-4d9f-b0b8-3472a9482df9" targetNamespace="http://schemas.microsoft.com/office/2006/metadata/properties" ma:root="true" ma:fieldsID="aee44c9108cdd1aa9ceb9e71d2938fc7" ns2:_="">
    <xsd:import namespace="683f9fd9-0c10-4d9f-b0b8-3472a9482df9"/>
    <xsd:element name="properties">
      <xsd:complexType>
        <xsd:sequence>
          <xsd:element name="documentManagement">
            <xsd:complexType>
              <xsd:all>
                <xsd:element ref="ns2:_x0420__x0435__x043a__x0432__x0438__x0437__x0438__x0442_" minOccurs="0"/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c__x0435__x043d__x0435__x043d_" minOccurs="0"/>
                <xsd:element ref="ns2:_x0414__x0430__x0442__x0430__x0020__x043e__x0442__x043c__x0435__x043d__x044b_" minOccurs="0"/>
                <xsd:element ref="ns2:_x041e__x0442__x0432__x0435__x0442__x0441__x0442__x0432__x0435__x043d__x043d__x044b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9fd9-0c10-4d9f-b0b8-3472a9482df9" elementFormDefault="qualified">
    <xsd:import namespace="http://schemas.microsoft.com/office/2006/documentManagement/types"/>
    <xsd:import namespace="http://schemas.microsoft.com/office/infopath/2007/PartnerControls"/>
    <xsd:element name="_x0420__x0435__x043a__x0432__x0438__x0437__x0438__x0442_" ma:index="2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  <xsd:element name="_x0420__x0430__x0437__x0434__x0435__x043b_" ma:index="3" nillable="true" ma:displayName="Раздел" ma:default="01. Основные внутренние документы" ma:format="Dropdown" ma:internalName="_x0420__x0430__x0437__x0434__x0435__x043b_">
      <xsd:simpleType>
        <xsd:restriction base="dms:Choice">
          <xsd:enumeration value="01. Основные внутренние документы"/>
          <xsd:enumeration value="02. Общие документы по работе с юридическими и физическими лицами"/>
          <xsd:enumeration value="03. Розничный бизнес"/>
          <xsd:enumeration value="04. Корпоративный бизнес"/>
          <xsd:enumeration value="05. Операции с ценными бумагами"/>
          <xsd:enumeration value="06. Валютные операции"/>
          <xsd:enumeration value="07. Операции на валютном и финансовых рынках"/>
          <xsd:enumeration value="08. Кассовая работа"/>
          <xsd:enumeration value="09. Бухгалтерский учет, отчетность и налогообложение"/>
          <xsd:enumeration value="10. Управление рисками"/>
          <xsd:enumeration value="11. Внутренний контроль"/>
          <xsd:enumeration value="12. Противодействие легализации"/>
          <xsd:enumeration value="13. Обеспечение безопасности"/>
        </xsd:restriction>
      </xsd:simpleType>
    </xsd:element>
    <xsd:element name="_x0414__x043e__x043a__x0443__x043c__x0435__x043d__x0442_" ma:index="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5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6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7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c__x0435__x043d__x0435__x043d_" ma:index="8" nillable="true" ma:displayName="Отменен" ma:internalName="_x041e__x0442__x043c__x0435__x043d__x0435__x043d_">
      <xsd:simpleType>
        <xsd:restriction base="dms:Text">
          <xsd:maxLength value="255"/>
        </xsd:restriction>
      </xsd:simpleType>
    </xsd:element>
    <xsd:element name="_x0414__x0430__x0442__x0430__x0020__x043e__x0442__x043c__x0435__x043d__x044b_" ma:index="9" nillable="true" ma:displayName="Дата отмены" ma:format="DateOnly" ma:internalName="_x0414__x0430__x0442__x0430__x0020__x043e__x0442__x043c__x0435__x043d__x044b_">
      <xsd:simpleType>
        <xsd:restriction base="dms:DateTime"/>
      </xsd:simpleType>
    </xsd:element>
    <xsd:element name="_x041e__x0442__x0432__x0435__x0442__x0441__x0442__x0432__x0435__x043d__x043d__x044b__x0439_" ma:index="10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683f9fd9-0c10-4d9f-b0b8-3472a9482df9">Приказ Председателя Правления №734</_x0423__x0442__x0432__x0435__x0440__x0436__x0434__x0435__x043d_>
    <_x0420__x0430__x0437__x0434__x0435__x043b_ xmlns="683f9fd9-0c10-4d9f-b0b8-3472a9482df9">04. Корпоративный бизнес</_x0420__x0430__x0437__x0434__x0435__x043b_>
    <_x041e__x0442__x0432__x0435__x0442__x0441__x0442__x0432__x0435__x043d__x043d__x044b__x0439_ xmlns="683f9fd9-0c10-4d9f-b0b8-3472a9482df9">Кузьменко О. В.</_x041e__x0442__x0432__x0435__x0442__x0441__x0442__x0432__x0435__x043d__x043d__x044b__x0439_>
    <_x0414__x0430__x0442__x0430__x0020__x0443__x0442__x0432__x0435__x0440__x0436__x0434__x0435__x043d__x0438__x044f_ xmlns="683f9fd9-0c10-4d9f-b0b8-3472a9482df9">2019-11-25T19:00:00+00:00</_x0414__x0430__x0442__x0430__x0020__x0443__x0442__x0432__x0435__x0440__x0436__x0434__x0435__x043d__x0438__x044f_>
    <_x041e__x0442__x043c__x0435__x043d__x0435__x043d_ xmlns="683f9fd9-0c10-4d9f-b0b8-3472a9482df9">Приказ Председателя Правления №912</_x041e__x0442__x043c__x0435__x043d__x0435__x043d_>
    <_x0420__x0435__x043a__x0432__x0438__x0437__x0438__x0442_ xmlns="683f9fd9-0c10-4d9f-b0b8-3472a9482df9">О</_x0420__x0435__x043a__x0432__x0438__x0437__x0438__x0442_>
    <_x0412__x0432__x0435__x0434__x0435__x043d__x0020__x0432__x0020__x0434__x0435__x0439__x0441__x0442__x0432__x0438__x0435_ xmlns="683f9fd9-0c10-4d9f-b0b8-3472a9482df9">2019-11-25T19:00:00+00:00</_x0412__x0432__x0435__x0434__x0435__x043d__x0020__x0432__x0020__x0434__x0435__x0439__x0441__x0442__x0432__x0438__x0435_>
    <_x0414__x043e__x043a__x0443__x043c__x0435__x043d__x0442_ xmlns="683f9fd9-0c10-4d9f-b0b8-3472a9482df9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  <_x0414__x0430__x0442__x0430__x0020__x043e__x0442__x043c__x0435__x043d__x044b_ xmlns="683f9fd9-0c10-4d9f-b0b8-3472a9482df9">2019-12-26T19:00:00+00:00</_x0414__x0430__x0442__x0430__x0020__x043e__x0442__x043c__x0435__x043d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B91F3-95C0-4DB1-8BC4-BDEBCB1C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9fd9-0c10-4d9f-b0b8-3472a9482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25998-667A-45C0-BCB8-4772B321D3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3f9fd9-0c10-4d9f-b0b8-3472a9482d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DED435-2F4E-4257-8559-2F876EC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26667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Лескина Ю.В.</cp:lastModifiedBy>
  <cp:revision>3</cp:revision>
  <cp:lastPrinted>2019-11-27T09:57:00Z</cp:lastPrinted>
  <dcterms:created xsi:type="dcterms:W3CDTF">2020-02-25T12:00:00Z</dcterms:created>
  <dcterms:modified xsi:type="dcterms:W3CDTF">2020-02-25T12:10:00Z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0x010100A4F87AAAD45C2F40BB06A223B72F98F5</vt:lpwstr>
  </property>
</Properties>
</file>